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43" w:rsidRDefault="00996143" w:rsidP="00EF1E46">
      <w:pPr>
        <w:ind w:firstLine="2700"/>
        <w:rPr>
          <w:u w:val="single"/>
        </w:rPr>
      </w:pPr>
    </w:p>
    <w:p w:rsidR="00996143" w:rsidRDefault="00996143" w:rsidP="00EF1E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1030190681"/>
      <w:bookmarkStart w:id="1" w:name="_1030190898"/>
      <w:bookmarkStart w:id="2" w:name="_1030190945"/>
      <w:bookmarkEnd w:id="0"/>
      <w:bookmarkEnd w:id="1"/>
      <w:bookmarkEnd w:id="2"/>
      <w:r>
        <w:object w:dxaOrig="223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in" o:ole="" filled="t">
            <v:fill color2="black"/>
            <v:imagedata r:id="rId4" o:title=""/>
          </v:shape>
          <o:OLEObject Type="Embed" ProgID="Word.Picture.8" ShapeID="_x0000_i1025" DrawAspect="Content" ObjectID="_1229119482" r:id="rId5"/>
        </w:object>
      </w:r>
    </w:p>
    <w:p w:rsidR="00996143" w:rsidRDefault="00996143" w:rsidP="00EF1E46">
      <w:pPr>
        <w:pStyle w:val="BodyText"/>
        <w:jc w:val="center"/>
      </w:pPr>
      <w:r>
        <w:t>АДМИНИСТРАЦИЯ МУНИЦИПАЛЬНОГО ОБРАЗОВАНИЯ «ЭРКЕШЕВСКОЕ»</w:t>
      </w:r>
    </w:p>
    <w:p w:rsidR="00996143" w:rsidRDefault="00996143" w:rsidP="00EF1E46">
      <w:pPr>
        <w:pStyle w:val="BodyText"/>
        <w:jc w:val="center"/>
      </w:pPr>
      <w:r>
        <w:t xml:space="preserve"> «МАРКОГУРТ» МУНИЦИПАЛ КЫЛДЫТЭТЛЭН АДМИНИСТРАЦИЕЗ</w:t>
      </w:r>
    </w:p>
    <w:p w:rsidR="00996143" w:rsidRDefault="00996143" w:rsidP="00EF1E46">
      <w:pPr>
        <w:jc w:val="right"/>
        <w:rPr>
          <w:sz w:val="32"/>
          <w:szCs w:val="32"/>
        </w:rPr>
      </w:pPr>
    </w:p>
    <w:p w:rsidR="00996143" w:rsidRDefault="00996143" w:rsidP="00EF1E4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П О С Т А Н О В Л Е Н И Е</w:t>
      </w:r>
    </w:p>
    <w:p w:rsidR="00996143" w:rsidRDefault="00996143" w:rsidP="00EF1E46">
      <w:pPr>
        <w:jc w:val="center"/>
      </w:pPr>
    </w:p>
    <w:tbl>
      <w:tblPr>
        <w:tblW w:w="0" w:type="auto"/>
        <w:tblInd w:w="-106" w:type="dxa"/>
        <w:tblLook w:val="01E0"/>
      </w:tblPr>
      <w:tblGrid>
        <w:gridCol w:w="4796"/>
        <w:gridCol w:w="4775"/>
      </w:tblGrid>
      <w:tr w:rsidR="00996143">
        <w:tc>
          <w:tcPr>
            <w:tcW w:w="5012" w:type="dxa"/>
          </w:tcPr>
          <w:p w:rsidR="00996143" w:rsidRDefault="00996143">
            <w:pPr>
              <w:spacing w:line="240" w:lineRule="atLeast"/>
            </w:pPr>
            <w:r>
              <w:t>от  12 августа  2015 года</w:t>
            </w:r>
          </w:p>
        </w:tc>
        <w:tc>
          <w:tcPr>
            <w:tcW w:w="5013" w:type="dxa"/>
          </w:tcPr>
          <w:p w:rsidR="00996143" w:rsidRDefault="00996143">
            <w:pPr>
              <w:spacing w:line="240" w:lineRule="atLeast"/>
              <w:jc w:val="right"/>
            </w:pPr>
            <w:r>
              <w:t>№ 36а</w:t>
            </w:r>
          </w:p>
        </w:tc>
      </w:tr>
    </w:tbl>
    <w:p w:rsidR="00996143" w:rsidRDefault="00996143" w:rsidP="00EF1E46">
      <w:pPr>
        <w:jc w:val="center"/>
      </w:pPr>
    </w:p>
    <w:p w:rsidR="00996143" w:rsidRDefault="00996143" w:rsidP="00EF1E46">
      <w:pPr>
        <w:jc w:val="center"/>
      </w:pPr>
    </w:p>
    <w:tbl>
      <w:tblPr>
        <w:tblW w:w="0" w:type="auto"/>
        <w:tblInd w:w="-106" w:type="dxa"/>
        <w:tblLook w:val="00A0"/>
      </w:tblPr>
      <w:tblGrid>
        <w:gridCol w:w="5495"/>
      </w:tblGrid>
      <w:tr w:rsidR="00996143">
        <w:tc>
          <w:tcPr>
            <w:tcW w:w="5495" w:type="dxa"/>
          </w:tcPr>
          <w:p w:rsidR="00996143" w:rsidRDefault="00996143">
            <w:pPr>
              <w:pStyle w:val="1"/>
              <w:ind w:firstLine="0"/>
              <w:jc w:val="left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присвоения, изменения и аннулирования адресов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территории </w:t>
            </w:r>
          </w:p>
          <w:p w:rsidR="00996143" w:rsidRPr="002C4618" w:rsidRDefault="00996143">
            <w:pPr>
              <w:pStyle w:val="1"/>
              <w:ind w:firstLine="0"/>
              <w:jc w:val="left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461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 «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Эркешевское</w:t>
            </w:r>
            <w:r w:rsidRPr="002C461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996143" w:rsidRDefault="00996143">
            <w:pPr>
              <w:pStyle w:val="1"/>
              <w:ind w:firstLine="0"/>
              <w:jc w:val="left"/>
              <w:rPr>
                <w:rStyle w:val="Strong"/>
                <w:rFonts w:cs="Times New Roman"/>
                <w:b w:val="0"/>
                <w:bCs w:val="0"/>
                <w:sz w:val="24"/>
                <w:szCs w:val="24"/>
              </w:rPr>
            </w:pPr>
            <w:r w:rsidRPr="002C461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Балезинского района Удмуртской Республики</w:t>
            </w:r>
          </w:p>
          <w:p w:rsidR="00996143" w:rsidRDefault="00996143">
            <w:pPr>
              <w:tabs>
                <w:tab w:val="left" w:pos="8820"/>
              </w:tabs>
              <w:jc w:val="center"/>
            </w:pPr>
          </w:p>
        </w:tc>
      </w:tr>
    </w:tbl>
    <w:p w:rsidR="00996143" w:rsidRDefault="00996143" w:rsidP="00EF1E46">
      <w:pPr>
        <w:rPr>
          <w:b/>
          <w:bCs/>
          <w:color w:val="000000"/>
        </w:rPr>
      </w:pPr>
    </w:p>
    <w:p w:rsidR="00996143" w:rsidRDefault="00996143" w:rsidP="00EF1E46">
      <w:pPr>
        <w:jc w:val="both"/>
        <w:rPr>
          <w:color w:val="000000"/>
        </w:rPr>
      </w:pPr>
      <w:r>
        <w:rPr>
          <w:color w:val="000000"/>
        </w:rPr>
        <w:t xml:space="preserve">          В соответствии </w:t>
      </w:r>
      <w:r>
        <w:t>с Градостроительным кодексом РФ,  Федеральным законом от 06.10.2003 № 131-ФЗ «Об общих принципах организации местного самоуправления в Российской Федерации,  Постановлением Правительства РФ от 19 ноября 2014 года № 1221 «Об утверждении Правил присвоения, изменения и аннулирования адресов», на основании п. 20,  п. 21 ст. 7</w:t>
      </w:r>
      <w:r>
        <w:rPr>
          <w:color w:val="000000"/>
        </w:rPr>
        <w:t xml:space="preserve">  Устава муниципального образования «Эркешевское»,  </w:t>
      </w:r>
    </w:p>
    <w:p w:rsidR="00996143" w:rsidRDefault="00996143" w:rsidP="00EF1E46">
      <w:pPr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996143" w:rsidRDefault="00996143" w:rsidP="00EF1E46">
      <w:pPr>
        <w:tabs>
          <w:tab w:val="left" w:pos="851"/>
        </w:tabs>
        <w:ind w:firstLine="851"/>
        <w:jc w:val="both"/>
        <w:rPr>
          <w:rStyle w:val="Strong"/>
          <w:b w:val="0"/>
          <w:bCs w:val="0"/>
        </w:rPr>
      </w:pPr>
      <w:r>
        <w:rPr>
          <w:color w:val="000000"/>
        </w:rPr>
        <w:t xml:space="preserve">1.Утвердить </w:t>
      </w:r>
      <w:r>
        <w:t>Правила присвоения, изменения и аннулирования адресов</w:t>
      </w:r>
      <w:r>
        <w:rPr>
          <w:b/>
          <w:bCs/>
        </w:rPr>
        <w:t xml:space="preserve"> </w:t>
      </w:r>
      <w:r>
        <w:rPr>
          <w:rStyle w:val="Strong"/>
          <w:b w:val="0"/>
          <w:bCs w:val="0"/>
        </w:rPr>
        <w:t>на территории муниципального образования «Эркешевское» Балезинского района Удмуртской Республики</w:t>
      </w:r>
      <w:r>
        <w:rPr>
          <w:rStyle w:val="Strong"/>
        </w:rPr>
        <w:t>.</w:t>
      </w:r>
    </w:p>
    <w:p w:rsidR="00996143" w:rsidRDefault="00996143" w:rsidP="00EF1E46">
      <w:pPr>
        <w:ind w:firstLine="567"/>
        <w:jc w:val="both"/>
      </w:pPr>
      <w:r>
        <w:t>2.Разместить (опубликовать) настоящее постановление в Интернет-сайте Балезинского района в разделе «муниципальные  поселения - МО «Эркешевское».</w:t>
      </w:r>
    </w:p>
    <w:p w:rsidR="00996143" w:rsidRDefault="00996143" w:rsidP="00EF1E46">
      <w:pPr>
        <w:tabs>
          <w:tab w:val="left" w:pos="851"/>
        </w:tabs>
        <w:ind w:firstLine="851"/>
        <w:jc w:val="both"/>
      </w:pPr>
      <w:r>
        <w:t>3.Настоящее  постановление  вступает в силу с момента подписания.</w:t>
      </w:r>
    </w:p>
    <w:p w:rsidR="00996143" w:rsidRDefault="00996143" w:rsidP="00EF1E4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rPr>
          <w:color w:val="000000"/>
        </w:rPr>
      </w:pPr>
    </w:p>
    <w:p w:rsidR="00996143" w:rsidRDefault="00996143" w:rsidP="00EF1E46">
      <w:pPr>
        <w:rPr>
          <w:color w:val="000000"/>
        </w:rPr>
      </w:pPr>
      <w:r>
        <w:rPr>
          <w:color w:val="000000"/>
        </w:rPr>
        <w:t>Глава муниципального</w:t>
      </w:r>
    </w:p>
    <w:p w:rsidR="00996143" w:rsidRDefault="00996143" w:rsidP="002C4618">
      <w:r>
        <w:t>образования «Эркешевское»                                                        О.Г.Русских</w:t>
      </w: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«Эркешевское»</w:t>
      </w:r>
    </w:p>
    <w:p w:rsidR="00996143" w:rsidRDefault="00996143" w:rsidP="00EF1E4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12.08.2015 г №  36а</w:t>
      </w:r>
    </w:p>
    <w:p w:rsidR="00996143" w:rsidRDefault="00996143" w:rsidP="00EF1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6143" w:rsidRDefault="00996143" w:rsidP="00EF1E46">
      <w:pPr>
        <w:pStyle w:val="ConsPlusNormal"/>
        <w:jc w:val="center"/>
        <w:rPr>
          <w:rStyle w:val="Strong"/>
          <w:rFonts w:cs="Times New Roman"/>
          <w:b w:val="0"/>
          <w:bCs w:val="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присвоения, изменения и аннулирования адресов </w:t>
      </w:r>
      <w:r>
        <w:rPr>
          <w:rStyle w:val="Strong"/>
          <w:rFonts w:ascii="Times New Roman" w:hAnsi="Times New Roman" w:cs="Times New Roman"/>
          <w:sz w:val="24"/>
          <w:szCs w:val="24"/>
        </w:rPr>
        <w:t>на территории муниципального образования «Эркешевское» Балезинского района Удмуртской Республики.</w:t>
      </w:r>
    </w:p>
    <w:p w:rsidR="00996143" w:rsidRDefault="00996143" w:rsidP="00EF1E4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96143" w:rsidRDefault="00996143" w:rsidP="00EF1E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996143" w:rsidRDefault="00996143" w:rsidP="00EF1E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>
        <w:rPr>
          <w:rFonts w:ascii="Times New Roman" w:hAnsi="Times New Roman" w:cs="Times New Roman"/>
          <w:sz w:val="24"/>
          <w:szCs w:val="24"/>
        </w:rPr>
        <w:t>II. Порядок присвоения объекту адресации адреса, изменения</w:t>
      </w:r>
    </w:p>
    <w:p w:rsidR="00996143" w:rsidRDefault="00996143" w:rsidP="00EF1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аннулирования такого адреса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Присвоение объекту адресации адреса, изменение и аннулирование такого адреса осуществляется Администрацией муниципального образования «Эркешевское», с использованием федеральной информационной адресной системы.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муниципального образования «Эркешевское» на основании заявлений физических или юридических лиц, указанных в </w:t>
      </w:r>
      <w:hyperlink r:id="rId6" w:anchor="Par108" w:tooltip="Ссылка на текущий документ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anchor="Par118" w:tooltip="Ссылка на текущий документ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 Аннулирование адресов объектов адресации осуществляется Администрацией муниципального образования «Эркешевское»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муниципального образования «Эркешевское»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7" w:name="Par67"/>
      <w:bookmarkEnd w:id="7"/>
      <w:r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8" w:name="Par70"/>
      <w:bookmarkEnd w:id="8"/>
      <w:r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9" w:name="Par71"/>
      <w:bookmarkEnd w:id="9"/>
      <w:r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0" w:name="Par72"/>
      <w:bookmarkEnd w:id="10"/>
      <w:r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1" w:name="Par77"/>
      <w:bookmarkEnd w:id="11"/>
      <w:r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его адреса Администрация муниципального образования «Эркешевское» обязана: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Постановлением Администрации муниципального образования «Эркешевское» о присвоении объекту адресации адреса или аннулировании его адреса.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Постановлением Администрации муниципального образования «Эркешевское» о присвоении объекту адресации адреса принимается одновременно: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Постановлением Администрации муниципального образования «Эркешевское» о присвоении объекту адресации адреса содержит: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Постановлении Администрации муниципального образования «Эркешевское»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Постановлением Администрации муниципального образования «Эркешевское» об аннулировании адреса объекта адресации содержит: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«Эркешевское»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Постановлением Администрации муниципального образования «Эркешевское»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Постановление о присвоении объекту адресации адреса или аннулировании его адреса подлежит обязательному внесению Администрацией муниципального образования «Эркешевское» в государственный адресный реестр в течение 3 рабочих дней со дня принятия такого решения.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2" w:name="Par108"/>
      <w:bookmarkEnd w:id="12"/>
      <w:r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Заявление составляется лицами, указанными в </w:t>
      </w:r>
      <w:hyperlink r:id="rId8" w:anchor="Par108" w:tooltip="Ссылка на текущий документ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>7 настоящих Правил (далее - заявитель), по форме, устанавливаемой Министерством финансов Российской Федерации.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3" w:name="Par118"/>
      <w:bookmarkEnd w:id="13"/>
      <w:r>
        <w:rPr>
          <w:rFonts w:ascii="Times New Roman" w:hAnsi="Times New Roman" w:cs="Times New Roman"/>
          <w:sz w:val="24"/>
          <w:szCs w:val="24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96143" w:rsidRDefault="00996143" w:rsidP="00EF1E4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96143" w:rsidRDefault="00996143" w:rsidP="00EF1E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65"/>
      <w:bookmarkEnd w:id="14"/>
    </w:p>
    <w:p w:rsidR="00996143" w:rsidRDefault="00996143" w:rsidP="00EF1E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Структура адреса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5" w:name="Par167"/>
      <w:bookmarkEnd w:id="15"/>
      <w:r>
        <w:rPr>
          <w:rFonts w:ascii="Times New Roman" w:hAnsi="Times New Roman" w:cs="Times New Roman"/>
          <w:sz w:val="24"/>
          <w:szCs w:val="24"/>
        </w:rPr>
        <w:t>31.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наименование населенного пункта;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номер земельного участка;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9" w:anchor="Par167" w:tooltip="Ссылка на текущий документ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6" w:name="Par180"/>
      <w:bookmarkEnd w:id="16"/>
      <w:r>
        <w:rPr>
          <w:rFonts w:ascii="Times New Roman" w:hAnsi="Times New Roman" w:cs="Times New Roman"/>
          <w:sz w:val="24"/>
          <w:szCs w:val="24"/>
        </w:rPr>
        <w:t>34. Обязательными адресообразующими элементами для всех видов объектов адресации являются: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страна;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населенный пункт.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Иные адресообразующие элементы применяются в зависимости от вида объекта адресации.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Структура адреса земельного участка в дополнение к обязательным адресообразующим элементам, указанным в </w:t>
      </w:r>
      <w:hyperlink r:id="rId10" w:anchor="Par180" w:tooltip="Ссылка на текущий документ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11" w:anchor="Par180" w:tooltip="Ссылка на текущий документ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12" w:anchor="Par180" w:tooltip="Ссылка на текущий документ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996143" w:rsidRDefault="00996143" w:rsidP="00EF1E4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96143" w:rsidRDefault="00996143" w:rsidP="00EF1E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03"/>
      <w:bookmarkEnd w:id="17"/>
      <w:r>
        <w:rPr>
          <w:rFonts w:ascii="Times New Roman" w:hAnsi="Times New Roman" w:cs="Times New Roman"/>
          <w:sz w:val="24"/>
          <w:szCs w:val="24"/>
        </w:rPr>
        <w:t>IV. Правила написания наименований и нумерации</w:t>
      </w:r>
    </w:p>
    <w:p w:rsidR="00996143" w:rsidRDefault="00996143" w:rsidP="00EF1E4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"-" - дефис;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"." - точка;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"(" - открывающая круглая скобка;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"№" - знак номера.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996143" w:rsidRDefault="00996143" w:rsidP="00EF1E4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96143" w:rsidRDefault="00996143" w:rsidP="00EF1E46">
      <w:pPr>
        <w:pStyle w:val="ConsPlusNormal"/>
        <w:ind w:firstLine="540"/>
        <w:rPr>
          <w:rFonts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50.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96143" w:rsidRDefault="00996143" w:rsidP="00EF1E46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996143" w:rsidRDefault="00996143" w:rsidP="00EF1E46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996143" w:rsidRPr="00EF1E46" w:rsidRDefault="00996143" w:rsidP="00EF1E46">
      <w:bookmarkStart w:id="18" w:name="_GoBack"/>
      <w:bookmarkEnd w:id="18"/>
    </w:p>
    <w:sectPr w:rsidR="00996143" w:rsidRPr="00EF1E46" w:rsidSect="00C4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8EE"/>
    <w:rsid w:val="001C51C4"/>
    <w:rsid w:val="002C4618"/>
    <w:rsid w:val="004848EE"/>
    <w:rsid w:val="00717CB0"/>
    <w:rsid w:val="008254EA"/>
    <w:rsid w:val="008D0CE8"/>
    <w:rsid w:val="00996143"/>
    <w:rsid w:val="00B93AB1"/>
    <w:rsid w:val="00C42C24"/>
    <w:rsid w:val="00EF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F1E4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F1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1E4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F1E46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EF1E4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EF1E46"/>
    <w:pPr>
      <w:ind w:firstLine="709"/>
      <w:jc w:val="both"/>
    </w:pPr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rsid w:val="00EF1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49_10082015-1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49_10082015-1.DOC" TargetMode="External"/><Relationship Id="rId12" Type="http://schemas.openxmlformats.org/officeDocument/2006/relationships/hyperlink" Target="file:///C:\Users\User\AppData\Local\Temp\49_10082015-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49_10082015-1.DOC" TargetMode="External"/><Relationship Id="rId11" Type="http://schemas.openxmlformats.org/officeDocument/2006/relationships/hyperlink" Target="file:///C:\Users\User\AppData\Local\Temp\49_10082015-1.DOC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file:///C:\Users\User\AppData\Local\Temp\49_10082015-1.DOC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C:\Users\User\AppData\Local\Temp\49_10082015-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9</Pages>
  <Words>3815</Words>
  <Characters>21751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2015-09-09T05:44:00Z</dcterms:created>
  <dcterms:modified xsi:type="dcterms:W3CDTF">2006-12-31T21:18:00Z</dcterms:modified>
</cp:coreProperties>
</file>