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2C76CD" w:rsidP="009F171E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01.11.2024г</w:t>
      </w:r>
      <w:r w:rsidR="009B13CC" w:rsidRPr="009B13CC">
        <w:rPr>
          <w:rFonts w:ascii="Times New Roman" w:hAnsi="Times New Roman" w:cs="Times New Roman"/>
          <w:sz w:val="28"/>
          <w:szCs w:val="28"/>
        </w:rPr>
        <w:t>.</w:t>
      </w:r>
      <w:r w:rsidR="009B13CC"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9B13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 </w:t>
      </w:r>
      <w:r w:rsidR="009F17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>№</w:t>
      </w:r>
      <w:r w:rsidR="009F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1517</w:t>
      </w:r>
      <w:bookmarkStart w:id="0" w:name="_GoBack"/>
      <w:bookmarkEnd w:id="0"/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</w:t>
      </w:r>
      <w:r w:rsidRPr="009B13CC">
        <w:rPr>
          <w:rFonts w:ascii="Times New Roman" w:hAnsi="Times New Roman" w:cs="Times New Roman"/>
          <w:sz w:val="28"/>
          <w:szCs w:val="28"/>
        </w:rPr>
        <w:tab/>
        <w:t>муниципального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жилищного контроля на территории 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13CC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</w:t>
      </w:r>
      <w:r w:rsidR="00B55800">
        <w:rPr>
          <w:rFonts w:ascii="Times New Roman" w:hAnsi="Times New Roman" w:cs="Times New Roman"/>
          <w:sz w:val="28"/>
          <w:szCs w:val="28"/>
        </w:rPr>
        <w:t>н Удмуртской Республики» на 2025</w:t>
      </w:r>
      <w:r w:rsidRPr="009B13C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536"/>
          <w:tab w:val="left" w:pos="6480"/>
        </w:tabs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9B13CC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№. 131-Ф3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9B13CC">
        <w:rPr>
          <w:rFonts w:ascii="Times New Roman" w:hAnsi="Times New Roman" w:cs="Times New Roman"/>
          <w:sz w:val="28"/>
          <w:szCs w:val="28"/>
        </w:rPr>
        <w:t xml:space="preserve"> ценностям» </w:t>
      </w:r>
      <w:r w:rsidRPr="009B13C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9B13CC">
        <w:rPr>
          <w:rFonts w:ascii="Times New Roman" w:hAnsi="Times New Roman" w:cs="Times New Roman"/>
          <w:sz w:val="28"/>
          <w:szCs w:val="28"/>
        </w:rPr>
        <w:t>:</w:t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B13CC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</w:t>
      </w:r>
      <w:r w:rsidR="00861120">
        <w:rPr>
          <w:rFonts w:ascii="Times New Roman" w:hAnsi="Times New Roman" w:cs="Times New Roman"/>
          <w:sz w:val="28"/>
          <w:szCs w:val="28"/>
        </w:rPr>
        <w:t>н Удмуртской Республики» на 2025</w:t>
      </w:r>
      <w:r w:rsidRPr="009B13CC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B13CC" w:rsidRPr="009B13CC" w:rsidRDefault="009B13CC" w:rsidP="00B5580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2.</w:t>
      </w:r>
      <w:r w:rsidRPr="009B13CC">
        <w:rPr>
          <w:rFonts w:ascii="Times New Roman" w:hAnsi="Times New Roman" w:cs="Times New Roman"/>
          <w:sz w:val="28"/>
          <w:szCs w:val="28"/>
        </w:rPr>
        <w:tab/>
        <w:t>Контроль</w:t>
      </w:r>
      <w:r w:rsidR="00B55800">
        <w:rPr>
          <w:rFonts w:ascii="Times New Roman" w:hAnsi="Times New Roman" w:cs="Times New Roman"/>
          <w:sz w:val="28"/>
          <w:szCs w:val="28"/>
        </w:rPr>
        <w:t>,</w:t>
      </w:r>
      <w:r w:rsidRPr="009B13CC">
        <w:rPr>
          <w:rFonts w:ascii="Times New Roman" w:hAnsi="Times New Roman" w:cs="Times New Roman"/>
          <w:sz w:val="28"/>
          <w:szCs w:val="28"/>
        </w:rPr>
        <w:t xml:space="preserve"> за исполнением настоящего постановления возложить на </w:t>
      </w:r>
      <w:r w:rsidR="00B5580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B55800" w:rsidRPr="00B558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55800" w:rsidRPr="00B55800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B55800" w:rsidRPr="00B55800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строительству и ЖКХ</w:t>
      </w:r>
      <w:r w:rsidRPr="009B13CC">
        <w:rPr>
          <w:rFonts w:ascii="Times New Roman" w:hAnsi="Times New Roman" w:cs="Times New Roman"/>
          <w:sz w:val="28"/>
          <w:szCs w:val="28"/>
        </w:rPr>
        <w:t>.</w:t>
      </w:r>
    </w:p>
    <w:p w:rsidR="00326F7B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709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3CC">
        <w:rPr>
          <w:rFonts w:ascii="Times New Roman" w:hAnsi="Times New Roman" w:cs="Times New Roman"/>
          <w:sz w:val="28"/>
          <w:szCs w:val="28"/>
        </w:rPr>
        <w:t>3.</w:t>
      </w:r>
      <w:r w:rsidRPr="009B13CC">
        <w:rPr>
          <w:rFonts w:ascii="Times New Roman" w:hAnsi="Times New Roman" w:cs="Times New Roman"/>
          <w:sz w:val="28"/>
          <w:szCs w:val="28"/>
        </w:rPr>
        <w:tab/>
        <w:t>Разместить</w:t>
      </w:r>
      <w:r w:rsidR="00B55800">
        <w:rPr>
          <w:rFonts w:ascii="Times New Roman" w:hAnsi="Times New Roman" w:cs="Times New Roman"/>
          <w:sz w:val="28"/>
          <w:szCs w:val="28"/>
        </w:rPr>
        <w:t>,</w:t>
      </w:r>
      <w:r w:rsidRPr="009B13C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9B13CC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9B13CC">
        <w:rPr>
          <w:rFonts w:ascii="Times New Roman" w:hAnsi="Times New Roman" w:cs="Times New Roman"/>
          <w:sz w:val="28"/>
          <w:szCs w:val="28"/>
        </w:rPr>
        <w:t xml:space="preserve"> района Удмуртской Республики».</w:t>
      </w:r>
    </w:p>
    <w:p w:rsidR="00326F7B" w:rsidRDefault="00326F7B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F50BB0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8C6F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F50BB0">
      <w:pPr>
        <w:pStyle w:val="ae"/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F50BB0">
      <w:pPr>
        <w:spacing w:after="0"/>
        <w:ind w:left="567" w:righ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AF5F29" w:rsidRPr="00AF5F29" w:rsidSect="009B13CC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3E" w:rsidRDefault="00505F3E" w:rsidP="00F35EF6">
      <w:pPr>
        <w:spacing w:after="0" w:line="240" w:lineRule="auto"/>
      </w:pPr>
      <w:r>
        <w:separator/>
      </w:r>
    </w:p>
  </w:endnote>
  <w:endnote w:type="continuationSeparator" w:id="0">
    <w:p w:rsidR="00505F3E" w:rsidRDefault="00505F3E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3E" w:rsidRDefault="00505F3E" w:rsidP="00F35EF6">
      <w:pPr>
        <w:spacing w:after="0" w:line="240" w:lineRule="auto"/>
      </w:pPr>
      <w:r>
        <w:separator/>
      </w:r>
    </w:p>
  </w:footnote>
  <w:footnote w:type="continuationSeparator" w:id="0">
    <w:p w:rsidR="00505F3E" w:rsidRDefault="00505F3E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4587B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2C76CD"/>
    <w:rsid w:val="00307AE4"/>
    <w:rsid w:val="003148A9"/>
    <w:rsid w:val="003239EA"/>
    <w:rsid w:val="00326F7B"/>
    <w:rsid w:val="00421C11"/>
    <w:rsid w:val="0042380D"/>
    <w:rsid w:val="004250CC"/>
    <w:rsid w:val="00446E71"/>
    <w:rsid w:val="00451E4D"/>
    <w:rsid w:val="004C2786"/>
    <w:rsid w:val="004D6C6F"/>
    <w:rsid w:val="004F1260"/>
    <w:rsid w:val="00505F3E"/>
    <w:rsid w:val="00516DB7"/>
    <w:rsid w:val="005210F4"/>
    <w:rsid w:val="00530850"/>
    <w:rsid w:val="00566276"/>
    <w:rsid w:val="00573576"/>
    <w:rsid w:val="005A07BA"/>
    <w:rsid w:val="005B3243"/>
    <w:rsid w:val="005C4956"/>
    <w:rsid w:val="005F3A11"/>
    <w:rsid w:val="00607D8A"/>
    <w:rsid w:val="00620664"/>
    <w:rsid w:val="006644F2"/>
    <w:rsid w:val="00670C2D"/>
    <w:rsid w:val="006B08E7"/>
    <w:rsid w:val="006E14A5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313A7"/>
    <w:rsid w:val="00835816"/>
    <w:rsid w:val="00861120"/>
    <w:rsid w:val="00871A9C"/>
    <w:rsid w:val="008A633C"/>
    <w:rsid w:val="008C6F31"/>
    <w:rsid w:val="008D23B3"/>
    <w:rsid w:val="008E48CA"/>
    <w:rsid w:val="008F0A4E"/>
    <w:rsid w:val="009038EF"/>
    <w:rsid w:val="00921856"/>
    <w:rsid w:val="00960815"/>
    <w:rsid w:val="009900D2"/>
    <w:rsid w:val="009A2444"/>
    <w:rsid w:val="009B13CC"/>
    <w:rsid w:val="009C6499"/>
    <w:rsid w:val="009F171E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55800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36F1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7D4A-0618-42FC-B501-6631EAEC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ЖКХ</cp:lastModifiedBy>
  <cp:revision>56</cp:revision>
  <cp:lastPrinted>2023-09-11T12:19:00Z</cp:lastPrinted>
  <dcterms:created xsi:type="dcterms:W3CDTF">2021-12-21T06:34:00Z</dcterms:created>
  <dcterms:modified xsi:type="dcterms:W3CDTF">2024-11-01T06:05:00Z</dcterms:modified>
</cp:coreProperties>
</file>