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1111" w14:textId="77777777" w:rsidR="00CD3C2F" w:rsidRDefault="00CD3C2F" w:rsidP="004A1C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1F249544" w14:textId="77777777" w:rsidR="000D5DBE" w:rsidRPr="00E44DFB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7F0E3E" w14:textId="5C08F7B6" w:rsidR="00C063C3" w:rsidRDefault="00AE513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10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>право на заключение договора на установку и эксплуатацию рекламной конструкции</w:t>
      </w:r>
      <w:r w:rsidR="004A1C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2744">
        <w:rPr>
          <w:rFonts w:ascii="Times New Roman" w:hAnsi="Times New Roman" w:cs="Times New Roman"/>
          <w:bCs/>
          <w:color w:val="000000"/>
          <w:sz w:val="24"/>
          <w:szCs w:val="24"/>
        </w:rPr>
        <w:t>сити-формата</w:t>
      </w:r>
      <w:r w:rsidR="00602744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общей площадью информационного поля 4,32 кв.м. (№ рекламной конструкции согласно </w:t>
      </w:r>
      <w:r w:rsidR="00F11E9B" w:rsidRPr="00F11E9B">
        <w:rPr>
          <w:rFonts w:ascii="Times New Roman" w:hAnsi="Times New Roman" w:cs="Times New Roman"/>
          <w:sz w:val="24"/>
          <w:szCs w:val="24"/>
        </w:rPr>
        <w:t>Схеме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F11E9B">
        <w:rPr>
          <w:rFonts w:ascii="Times New Roman" w:hAnsi="Times New Roman" w:cs="Times New Roman"/>
          <w:sz w:val="24"/>
          <w:szCs w:val="24"/>
        </w:rPr>
        <w:t xml:space="preserve"> - 26)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адресом (адресными ориентирами) установки: Удмуртская Республика, Балезинский район, п. Балезино, ул. Советская (вид </w:t>
      </w:r>
      <w:proofErr w:type="spellStart"/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>Рк</w:t>
      </w:r>
      <w:proofErr w:type="spellEnd"/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рядом с кафе «Райцентр»)</w:t>
      </w:r>
      <w:r w:rsidR="007108E2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A5257BB" w14:textId="77777777" w:rsidR="000D5DBE" w:rsidRPr="00356892" w:rsidRDefault="000D5DB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777"/>
      </w:tblGrid>
      <w:tr w:rsidR="000D5DBE" w:rsidRPr="00C063C3" w14:paraId="7AE896A4" w14:textId="77777777" w:rsidTr="003F253B">
        <w:tc>
          <w:tcPr>
            <w:tcW w:w="709" w:type="dxa"/>
          </w:tcPr>
          <w:p w14:paraId="43FCA0C3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</w:tcPr>
          <w:p w14:paraId="4DB02E2F" w14:textId="77777777" w:rsidR="008C5701" w:rsidRPr="00C562CB" w:rsidRDefault="004A1C5E" w:rsidP="00AE51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предмета аукциона (лота): </w:t>
            </w:r>
            <w:r w:rsidR="002B1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(или) тип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E513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рекламной конструкции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DB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рекламной конструкции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63C3" w:rsidRPr="00C063C3" w14:paraId="26FD6A5E" w14:textId="77777777" w:rsidTr="003F253B">
        <w:tc>
          <w:tcPr>
            <w:tcW w:w="709" w:type="dxa"/>
          </w:tcPr>
          <w:p w14:paraId="47E7FC0D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BD5CE9" w14:textId="77777777" w:rsidR="00C063C3" w:rsidRPr="00C063C3" w:rsidRDefault="00A46394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тип 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276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7EF563AA" w14:textId="0CE408CA" w:rsidR="00C063C3" w:rsidRPr="00324C74" w:rsidRDefault="00324C74" w:rsidP="005B6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– сити-формат.</w:t>
            </w:r>
          </w:p>
        </w:tc>
      </w:tr>
      <w:tr w:rsidR="007108E2" w:rsidRPr="00C063C3" w14:paraId="5372C944" w14:textId="77777777" w:rsidTr="003F253B">
        <w:tc>
          <w:tcPr>
            <w:tcW w:w="709" w:type="dxa"/>
          </w:tcPr>
          <w:p w14:paraId="62E66A7E" w14:textId="77777777" w:rsidR="007108E2" w:rsidRDefault="003535E9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3C905584" w14:textId="77777777" w:rsidR="007108E2" w:rsidRPr="00C063C3" w:rsidRDefault="007108E2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082D7875" w14:textId="704DC80F" w:rsidR="007108E2" w:rsidRPr="00C063C3" w:rsidRDefault="00324C74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</w:tr>
      <w:tr w:rsidR="000D5DBE" w:rsidRPr="00C063C3" w14:paraId="09ADF614" w14:textId="77777777" w:rsidTr="003F253B">
        <w:tc>
          <w:tcPr>
            <w:tcW w:w="709" w:type="dxa"/>
          </w:tcPr>
          <w:p w14:paraId="75A00859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76D2596" w14:textId="77777777" w:rsidR="000D5DBE" w:rsidRPr="00C063C3" w:rsidRDefault="003535E9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1684A03" w14:textId="283E96B9" w:rsidR="00324C74" w:rsidRDefault="00324C74" w:rsidP="00A528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Удмуртская Республика, Балезинский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п. Балезино, ул. Советская (вид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рядом с кафе «Райцентр»).</w:t>
            </w:r>
          </w:p>
          <w:p w14:paraId="7A593017" w14:textId="77777777" w:rsidR="00324C74" w:rsidRDefault="00324C74" w:rsidP="00A5282D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D5DFC8A" w14:textId="7300D13F" w:rsidR="000D5DBE" w:rsidRPr="00C063C3" w:rsidRDefault="00A5282D" w:rsidP="00A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места для установки рекламной конструкции представлена </w:t>
            </w:r>
            <w:r w:rsidR="00EB53D3" w:rsidRPr="00324C7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2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ситуационном плане размещения рекламной конструкции (карта размещения рекламной конструкции согласно Схеме размещения рекламных конструкций)</w:t>
            </w:r>
            <w:r w:rsidR="00EB53D3" w:rsidRPr="00324C74">
              <w:rPr>
                <w:sz w:val="24"/>
                <w:szCs w:val="24"/>
              </w:rPr>
              <w:t xml:space="preserve">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>(Приложение к проекту Договора на установку и эксплуатацию рекламной конструкции)</w:t>
            </w:r>
            <w:r w:rsidR="000254F3" w:rsidRPr="00324C74">
              <w:rPr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Извещения).</w:t>
            </w:r>
          </w:p>
        </w:tc>
      </w:tr>
      <w:tr w:rsidR="00293041" w:rsidRPr="00C063C3" w14:paraId="1071DF80" w14:textId="77777777" w:rsidTr="003F253B">
        <w:trPr>
          <w:trHeight w:val="599"/>
        </w:trPr>
        <w:tc>
          <w:tcPr>
            <w:tcW w:w="709" w:type="dxa"/>
          </w:tcPr>
          <w:p w14:paraId="71C61CBA" w14:textId="77777777" w:rsidR="00293041" w:rsidRPr="007341AE" w:rsidRDefault="0029304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58490601" w14:textId="77777777" w:rsidR="00440945" w:rsidRPr="007341AE" w:rsidRDefault="00A46394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земельного участка (номер кадастрового квартала), в пределах которого устанавлив</w:t>
            </w:r>
            <w:r w:rsidR="00E7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ается</w:t>
            </w: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рекламная конструкция</w:t>
            </w:r>
            <w:r w:rsidR="00A272FB"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47826B7" w14:textId="250D36B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bCs/>
                <w:sz w:val="24"/>
                <w:szCs w:val="24"/>
              </w:rPr>
              <w:t>18:02:20126.</w:t>
            </w:r>
          </w:p>
        </w:tc>
      </w:tr>
      <w:tr w:rsidR="007341AE" w:rsidRPr="00C063C3" w14:paraId="109AD5B4" w14:textId="77777777" w:rsidTr="003F253B">
        <w:trPr>
          <w:trHeight w:val="599"/>
        </w:trPr>
        <w:tc>
          <w:tcPr>
            <w:tcW w:w="709" w:type="dxa"/>
          </w:tcPr>
          <w:p w14:paraId="69EE775C" w14:textId="77777777" w:rsidR="007341AE" w:rsidRPr="007341A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C65EF57" w14:textId="77777777" w:rsidR="007341AE" w:rsidRPr="007341AE" w:rsidRDefault="007341AE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Размеры рекламной конструкции (м):</w:t>
            </w:r>
          </w:p>
        </w:tc>
        <w:tc>
          <w:tcPr>
            <w:tcW w:w="5777" w:type="dxa"/>
          </w:tcPr>
          <w:p w14:paraId="6D9BE486" w14:textId="47C80892" w:rsidR="007341AE" w:rsidRPr="00324C74" w:rsidRDefault="00324C74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состоять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полей, размер каждого из которых составляет по контуру 1,2 х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24C74">
                <w:rPr>
                  <w:rFonts w:ascii="Times New Roman" w:hAnsi="Times New Roman" w:cs="Times New Roman"/>
                  <w:sz w:val="24"/>
                  <w:szCs w:val="24"/>
                </w:rPr>
                <w:t>1,8 м</w:t>
              </w:r>
            </w:smartTag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041" w:rsidRPr="00C063C3" w14:paraId="22344EF3" w14:textId="77777777" w:rsidTr="003F253B">
        <w:tc>
          <w:tcPr>
            <w:tcW w:w="709" w:type="dxa"/>
          </w:tcPr>
          <w:p w14:paraId="1F0518F5" w14:textId="77777777" w:rsidR="00293041" w:rsidRPr="004A1C5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19B3C2F" w14:textId="77777777" w:rsidR="00293041" w:rsidRPr="004A1C5E" w:rsidRDefault="007341AE" w:rsidP="00293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информационного поля рекламной конструкции (</w:t>
            </w:r>
            <w:proofErr w:type="spellStart"/>
            <w:proofErr w:type="gramStart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5B608DFF" w14:textId="49A20A5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4,32 кв.м.</w:t>
            </w:r>
          </w:p>
        </w:tc>
      </w:tr>
      <w:tr w:rsidR="00EE1521" w:rsidRPr="00C063C3" w14:paraId="41B339F8" w14:textId="77777777" w:rsidTr="00CE1AA3">
        <w:trPr>
          <w:trHeight w:val="711"/>
        </w:trPr>
        <w:tc>
          <w:tcPr>
            <w:tcW w:w="709" w:type="dxa"/>
          </w:tcPr>
          <w:p w14:paraId="4BC5758D" w14:textId="77777777" w:rsidR="00EE1521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3B81AE" w14:textId="77777777" w:rsidR="00EE1521" w:rsidRPr="00293041" w:rsidRDefault="00EE1521" w:rsidP="002930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 w:rsidR="009F7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предъявляемые</w:t>
            </w: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5777" w:type="dxa"/>
          </w:tcPr>
          <w:p w14:paraId="12EAD9CA" w14:textId="40E3CDA8" w:rsidR="00C8713B" w:rsidRPr="00C501AC" w:rsidRDefault="00324C74" w:rsidP="001748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C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устанавливается на фундамент, опорную стойку</w:t>
            </w:r>
            <w:r w:rsidR="00C501AC" w:rsidRPr="00C5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1CB4F" w14:textId="77777777" w:rsidR="00CE1AA3" w:rsidRDefault="00120F17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устанавливается и эксплуатируется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E1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D186FD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220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A348A53" w14:textId="77777777" w:rsidR="00CE1AA3" w:rsidRDefault="00CE1AA3" w:rsidP="0071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регулирующего правоотношения в сферах технического регулирования, санитарного благополучия населения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требования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(СНиП)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предъявляющих требования к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установке и эксплуатации рекламных конструкций)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требованиями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ГОСТ Р 52044-2003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Госстандарта России от 22.04.2003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124-ст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B7A13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</w:t>
            </w:r>
            <w:r w:rsidR="009F7D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законодательства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728A1" w14:textId="77777777" w:rsidR="00CE1AA3" w:rsidRPr="009F7D3A" w:rsidRDefault="00CE1AA3" w:rsidP="009F7D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F7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требованиями Положения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утвержденного</w:t>
            </w:r>
            <w:r w:rsidR="009F7D3A" w:rsidRPr="009F7D3A">
              <w:rPr>
                <w:sz w:val="24"/>
                <w:szCs w:val="24"/>
              </w:rPr>
              <w:t xml:space="preserve">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решением Совета депутатов муниципального образования «Муниципальный округ Балезинский район Удмуртской Республики» от 28.12.2022 г. № 15-216</w:t>
            </w:r>
            <w:r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084F6D6D" w14:textId="42010D6F" w:rsidR="00CE1AA3" w:rsidRPr="00D1487C" w:rsidRDefault="00CE1AA3" w:rsidP="00E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8C220B">
              <w:rPr>
                <w:rFonts w:ascii="Times New Roman" w:hAnsi="Times New Roman" w:cs="Times New Roman"/>
                <w:sz w:val="24"/>
                <w:szCs w:val="24"/>
              </w:rPr>
              <w:t>действующих п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</w:t>
            </w:r>
            <w:r w:rsidR="00D1487C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D1487C" w:rsidRPr="00E93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318B">
              <w:t xml:space="preserve"> </w:t>
            </w:r>
          </w:p>
          <w:p w14:paraId="6A25A837" w14:textId="77777777" w:rsidR="00EE1521" w:rsidRPr="000A74F7" w:rsidRDefault="00CE1AA3" w:rsidP="00D1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71E462EB" w14:textId="77777777" w:rsidTr="00C26AC0">
        <w:trPr>
          <w:trHeight w:val="274"/>
        </w:trPr>
        <w:tc>
          <w:tcPr>
            <w:tcW w:w="709" w:type="dxa"/>
          </w:tcPr>
          <w:p w14:paraId="13C3BFD4" w14:textId="77777777" w:rsidR="00BE23AF" w:rsidRPr="00302474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14:paraId="57A2EE99" w14:textId="77777777" w:rsidR="00BE23AF" w:rsidRPr="00302474" w:rsidRDefault="00BE23AF" w:rsidP="001B1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существующих обременениях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07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(ограничениях) 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размещения рекламной конструкции</w:t>
            </w:r>
          </w:p>
        </w:tc>
        <w:tc>
          <w:tcPr>
            <w:tcW w:w="5777" w:type="dxa"/>
          </w:tcPr>
          <w:p w14:paraId="20A84178" w14:textId="3C39C0D3" w:rsidR="00BE23AF" w:rsidRPr="00302474" w:rsidRDefault="00302474" w:rsidP="003024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293041" w:rsidRPr="00C063C3" w14:paraId="63D535AA" w14:textId="77777777" w:rsidTr="003F253B">
        <w:tc>
          <w:tcPr>
            <w:tcW w:w="709" w:type="dxa"/>
          </w:tcPr>
          <w:p w14:paraId="61B3D8C4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</w:tcPr>
          <w:p w14:paraId="4B8FB9BC" w14:textId="77777777" w:rsidR="00C562CB" w:rsidRPr="00C562C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93041" w:rsidRPr="009B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ачальная (минимальная)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(цена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547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расчета начальной (минимальной) цены </w:t>
            </w:r>
            <w:r w:rsidR="0077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(цены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E74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293041" w:rsidRPr="00C063C3" w14:paraId="46374156" w14:textId="77777777" w:rsidTr="003F253B">
        <w:tc>
          <w:tcPr>
            <w:tcW w:w="709" w:type="dxa"/>
          </w:tcPr>
          <w:p w14:paraId="0578A8D5" w14:textId="77777777" w:rsidR="00293041" w:rsidRPr="009F7D3A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F1A057" w14:textId="77777777" w:rsidR="00293041" w:rsidRPr="007740FC" w:rsidRDefault="00293041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Начальная (минимальная) цена 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лота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740FC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(минимальный) размер платы по договору на установку и эксплуатацию рекламной конструкции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50A0DC7B" w14:textId="445200CB" w:rsidR="00293041" w:rsidRPr="00C95076" w:rsidRDefault="005473DA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740FC">
              <w:rPr>
                <w:rFonts w:ascii="Times New Roman" w:hAnsi="Times New Roman" w:cs="Times New Roman"/>
                <w:sz w:val="24"/>
                <w:szCs w:val="24"/>
              </w:rPr>
              <w:t>представляет собой начальный (минимальный)</w:t>
            </w:r>
            <w:r w:rsidR="00074527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11 810,45 руб. 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десять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копеек (без учета НДС).</w:t>
            </w:r>
          </w:p>
        </w:tc>
      </w:tr>
      <w:tr w:rsidR="00293041" w:rsidRPr="00C063C3" w14:paraId="725BD411" w14:textId="77777777" w:rsidTr="003F253B">
        <w:tc>
          <w:tcPr>
            <w:tcW w:w="709" w:type="dxa"/>
          </w:tcPr>
          <w:p w14:paraId="50D25FB3" w14:textId="77777777" w:rsidR="00293041" w:rsidRPr="00F61835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1AE3F9A" w14:textId="77777777" w:rsidR="00293041" w:rsidRPr="00F61835" w:rsidRDefault="005473DA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расчета начальной (минимальной)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цены</w:t>
            </w: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лота) 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) размер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04CACE2A" w14:textId="77777777" w:rsidR="00074527" w:rsidRDefault="00F61835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аукциона (цен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лота)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(начальный (минимальный)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Методикой определения размера платы по договору на установку и эксплуатацию рекламной конструкции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Удмуртской Республики»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муниципального образования «Муниципальный округ Балезинский район Удмуртской Республики» от 05.03.2024 № 256</w:t>
            </w:r>
            <w:r w:rsidR="00275F9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Методика)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7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формуле:</w:t>
            </w:r>
          </w:p>
          <w:p w14:paraId="7353E537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= БС х S х П х К1 х К2,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D658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C609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базовой ставки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в соответствии </w:t>
            </w:r>
            <w:r w:rsidRPr="00C95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95076" w:rsidRP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 w:rsid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C95076"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 04.03.2024 № 245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1EFB3" w14:textId="77777777" w:rsid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информационного поля рекламной конструкции (площадь информационного поля определяется как сумма площадей информационных полей всех сторон рекламной 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56917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6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период размещения рекламной конструкции равный 12 месяцам;</w:t>
            </w:r>
          </w:p>
          <w:p w14:paraId="32BD60A3" w14:textId="77777777" w:rsidR="00293041" w:rsidRPr="00F61835" w:rsidRDefault="00074527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35" w:rsidRPr="00F61835">
              <w:rPr>
                <w:rFonts w:ascii="Times New Roman" w:hAnsi="Times New Roman" w:cs="Times New Roman"/>
                <w:sz w:val="24"/>
                <w:szCs w:val="24"/>
              </w:rPr>
              <w:t>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 территориального расположения</w:t>
            </w:r>
            <w:r w:rsid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1196B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К2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–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коэффициент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учета типа и (или) вида рекламной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14:paraId="44A8ED4C" w14:textId="77777777" w:rsidR="003413FA" w:rsidRPr="00275F93" w:rsidRDefault="00CC48B8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коэффициентов К1, К2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определены согласно Методике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444C5" w14:textId="77777777" w:rsidR="003413FA" w:rsidRPr="009F7D3A" w:rsidRDefault="003413FA" w:rsidP="00074527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</w:p>
          <w:p w14:paraId="7BEEE9F7" w14:textId="77777777" w:rsidR="00074527" w:rsidRPr="00275F93" w:rsidRDefault="00074527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начальн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(минимальн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це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предмета аукциона (цены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2B5F9" w14:textId="2456E0AC" w:rsidR="00CC48B8" w:rsidRPr="00275F93" w:rsidRDefault="00C95076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70,10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4,32</w:t>
            </w:r>
            <w:r w:rsidR="003E7864" w:rsidRPr="00275F93">
              <w:rPr>
                <w:b/>
                <w:bCs/>
              </w:rPr>
              <w:t xml:space="preserve">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12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2,5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11 810,45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Одиннадцать тысяч восемьсот десять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рублей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копеек.</w:t>
            </w:r>
          </w:p>
        </w:tc>
      </w:tr>
      <w:tr w:rsidR="00BE23AF" w:rsidRPr="00C063C3" w14:paraId="21C62F82" w14:textId="77777777" w:rsidTr="003F253B">
        <w:tc>
          <w:tcPr>
            <w:tcW w:w="709" w:type="dxa"/>
          </w:tcPr>
          <w:p w14:paraId="47E37C5F" w14:textId="77777777" w:rsidR="00BE23AF" w:rsidRPr="001676E9" w:rsidRDefault="00EE1521" w:rsidP="0029304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7D272D70" w14:textId="77777777" w:rsidR="00BE23AF" w:rsidRPr="001676E9" w:rsidRDefault="00FA2FB9" w:rsidP="00293041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  <w:r w:rsidR="001676E9"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размещение рекламной конструкции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19D100D7" w14:textId="199BAF76" w:rsidR="001E3342" w:rsidRPr="00627F83" w:rsidRDefault="00627F83" w:rsidP="001E33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83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  <w:p w14:paraId="3A4F63B2" w14:textId="77777777" w:rsidR="001E3342" w:rsidRDefault="001E3342" w:rsidP="001E3342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6307153A" w14:textId="46F87451" w:rsidR="00BE23AF" w:rsidRPr="009F7D3A" w:rsidRDefault="00BE23AF" w:rsidP="001E33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3041" w:rsidRPr="00C063C3" w14:paraId="769148A1" w14:textId="77777777" w:rsidTr="003F253B">
        <w:tc>
          <w:tcPr>
            <w:tcW w:w="709" w:type="dxa"/>
          </w:tcPr>
          <w:p w14:paraId="4B19551C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5E2E692" w14:textId="77777777" w:rsidR="00293041" w:rsidRPr="00C063C3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777" w:type="dxa"/>
          </w:tcPr>
          <w:p w14:paraId="0CB428E3" w14:textId="77777777" w:rsidR="00293041" w:rsidRPr="00BF1AB8" w:rsidRDefault="00BF1AB8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3041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</w:t>
            </w:r>
            <w:r w:rsidR="000827BD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3041" w:rsidRPr="00C063C3" w14:paraId="0AA029C8" w14:textId="77777777" w:rsidTr="003F253B">
        <w:tc>
          <w:tcPr>
            <w:tcW w:w="709" w:type="dxa"/>
          </w:tcPr>
          <w:p w14:paraId="3E9C4339" w14:textId="77777777" w:rsidR="00293041" w:rsidRPr="00C063C3" w:rsidRDefault="00EE1521" w:rsidP="00293041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  <w:r w:rsidR="002930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0BCBA991" w14:textId="77777777" w:rsidR="00A76829" w:rsidRPr="00C063C3" w:rsidRDefault="00293041" w:rsidP="00BF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срок и порядок внесения </w:t>
            </w:r>
            <w:r w:rsidRPr="00BF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возврата задатка</w:t>
            </w:r>
          </w:p>
        </w:tc>
        <w:tc>
          <w:tcPr>
            <w:tcW w:w="5777" w:type="dxa"/>
          </w:tcPr>
          <w:p w14:paraId="1F34DA92" w14:textId="6DC327B8" w:rsidR="00293041" w:rsidRPr="00E37B5F" w:rsidRDefault="00293041" w:rsidP="0029304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627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EE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(минимальной) цены 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 аукциона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(цены лота), что составляет </w:t>
            </w:r>
            <w:bookmarkStart w:id="0" w:name="_Hlk167889769"/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2 362,09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Две тысячи триста шестьдесят два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я 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bookmarkEnd w:id="0"/>
          <w:p w14:paraId="49B1E409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488614AC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Универсальной торговой платформе                          АО «Сбербанк-АСТ» размещена на официальном сайте универсальной торговой платформы                         АО «Сбербанк-АСТ» в разделе «Инструкции по </w:t>
            </w: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работе в торговой секции «Приватизация, аренда и продажа прав».</w:t>
            </w:r>
          </w:p>
          <w:p w14:paraId="5AD3D76F" w14:textId="77777777" w:rsidR="00C74F2D" w:rsidRDefault="00C74F2D" w:rsidP="00C74F2D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 сроки внесения денежных средств в качестве задатка также определены регламентом соответствующей торговой секции «Приватизация, аренда и продажа прав» Электронной площадки                 АО «Сбербанк-АСТ».</w:t>
            </w:r>
          </w:p>
          <w:p w14:paraId="0BFCAC12" w14:textId="77777777" w:rsidR="00293041" w:rsidRPr="00C74F2D" w:rsidRDefault="00293041" w:rsidP="00293041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7761F3D8" w14:textId="77777777" w:rsidR="00C74F2D" w:rsidRPr="00C74F2D" w:rsidRDefault="00C74F2D" w:rsidP="00C74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настоящей Д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окументацией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аукционе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соответствующим регламентом </w:t>
            </w:r>
            <w:r w:rsidRPr="00686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Электронной площадки (</w:t>
            </w:r>
            <w:r w:rsidRPr="00EA04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 АО «Сбербанк-АСТ»)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регламентом торговой секции «Приватизация, аренда и продажа прав» Электронной площадки                 АО «Сбербанк-АСТ».</w:t>
            </w:r>
          </w:p>
          <w:p w14:paraId="03D4A659" w14:textId="77777777" w:rsidR="00842005" w:rsidRP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отмены аукциона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задаток возвращается Претендентам в течение 5 рабочих дней с даты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решения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от проведения аукциона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FE67FF" w14:textId="77777777" w:rsid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в течение 5 рабочих дней с даты поступления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Организатору аукциона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об отзыве заявки на участие в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Оператора Электронной площадки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855F0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с даты размещения протокола рассмотрения заявок на участие в аукционе.</w:t>
            </w:r>
          </w:p>
          <w:p w14:paraId="4535A9C9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Победителем, за исключением участника аукциона, который сделал предпоследнее предложение о цене предмета аукциона (цене лота)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(Новый победитель)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возвращается такому участнику в течение 5 рабочих дней с даты размещения протокола об итогах аукциона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BF5671" w14:textId="77777777" w:rsid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частником аукциона, который сделал предпоследнее предложение о цене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аукциона (цене лота)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возвращается такому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частнику аукциона в течение 5 рабочих дней с даты подписания договора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с Победителем аукциона.</w:t>
            </w:r>
          </w:p>
          <w:p w14:paraId="6563FF65" w14:textId="77777777" w:rsidR="004064F9" w:rsidRPr="00686FAD" w:rsidRDefault="001A215F" w:rsidP="004064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о проведении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лица, признанного аукционной комиссией единственным участником аукциона, а также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Единственного участника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условии заключения договора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Победителем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Новым победителем/лицом либо участником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предусмотренном законодательством Российской Федерации и настоящ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Извещением о проведении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засчитывается в счет исполнения обязательств по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заключенному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договору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9B76F" w14:textId="77777777" w:rsidR="00842005" w:rsidRPr="004064F9" w:rsidRDefault="001A215F" w:rsidP="001A215F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уклонения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либо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 заключается договор на установку и эксплуатацию рекламной конструкции в случае признания аукциона несостоявшимся по соответствующему основанию в соответствии с требованиями настоящего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, от заключения договора на установку и эксплуатацию рекламной конструкции, задаток, внесенный ими, не возвращается.</w:t>
            </w:r>
          </w:p>
          <w:p w14:paraId="4F0EECD3" w14:textId="77777777" w:rsidR="00293041" w:rsidRPr="00E37B5F" w:rsidRDefault="00293041" w:rsidP="00293041">
            <w:pPr>
              <w:ind w:firstLine="23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 аукциона явля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м Извещении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3041" w:rsidRPr="00C063C3" w14:paraId="6A3B7A79" w14:textId="77777777" w:rsidTr="003F253B">
        <w:tc>
          <w:tcPr>
            <w:tcW w:w="709" w:type="dxa"/>
          </w:tcPr>
          <w:p w14:paraId="3D6F89F0" w14:textId="77777777" w:rsidR="00293041" w:rsidRPr="00C063C3" w:rsidRDefault="00EE1521" w:rsidP="00293041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930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05" w:type="dxa"/>
            <w:gridSpan w:val="2"/>
          </w:tcPr>
          <w:p w14:paraId="7B0BA36F" w14:textId="77777777" w:rsidR="004064F9" w:rsidRPr="005C380E" w:rsidRDefault="004064F9" w:rsidP="004064F9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5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889E51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«Сбербанк-АСТ»;</w:t>
            </w:r>
          </w:p>
          <w:p w14:paraId="2D258DE0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7707308480;</w:t>
            </w:r>
          </w:p>
          <w:p w14:paraId="14C095E8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770401001;</w:t>
            </w:r>
          </w:p>
          <w:p w14:paraId="3B439C5B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счет: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40702810300020038047;</w:t>
            </w:r>
          </w:p>
          <w:p w14:paraId="2BD215F1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35A091F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«Сбербанк России» г. Москва;</w:t>
            </w:r>
          </w:p>
          <w:p w14:paraId="6C0BD11F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БИК: 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044525225;</w:t>
            </w:r>
          </w:p>
          <w:p w14:paraId="1C6274CC" w14:textId="77777777" w:rsidR="004064F9" w:rsidRPr="00686FAD" w:rsidRDefault="004064F9" w:rsidP="00406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  <w:r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30101810400000000225;</w:t>
            </w:r>
          </w:p>
          <w:p w14:paraId="08276432" w14:textId="77777777" w:rsidR="00300BF2" w:rsidRPr="00AD2AF2" w:rsidRDefault="004064F9" w:rsidP="00145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686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(НДС не облагается)</w:t>
            </w:r>
            <w:r w:rsidRPr="0068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(ИНН плательщика)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3041" w:rsidRPr="00C063C3" w14:paraId="58940B9B" w14:textId="77777777" w:rsidTr="003F253B">
        <w:tc>
          <w:tcPr>
            <w:tcW w:w="709" w:type="dxa"/>
          </w:tcPr>
          <w:p w14:paraId="06D66986" w14:textId="77777777" w:rsidR="00293041" w:rsidRPr="00302474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A9AECEE" w14:textId="77777777" w:rsidR="00293041" w:rsidRPr="00302474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  <w:r w:rsidR="004064F9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  <w:tc>
          <w:tcPr>
            <w:tcW w:w="5777" w:type="dxa"/>
          </w:tcPr>
          <w:p w14:paraId="54804997" w14:textId="7193CE30" w:rsidR="00293041" w:rsidRPr="00302474" w:rsidRDefault="009F7D3A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93041"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е установлено.</w:t>
            </w:r>
          </w:p>
        </w:tc>
      </w:tr>
      <w:tr w:rsidR="00293041" w:rsidRPr="00C063C3" w14:paraId="1771943B" w14:textId="77777777" w:rsidTr="003F253B">
        <w:tc>
          <w:tcPr>
            <w:tcW w:w="709" w:type="dxa"/>
          </w:tcPr>
          <w:p w14:paraId="02A5F2EC" w14:textId="77777777" w:rsidR="00293041" w:rsidRPr="00465C82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364F930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повышения начальной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(минимальной)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аукциона (цены лота)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(«шаг аукциона»)</w:t>
            </w:r>
          </w:p>
        </w:tc>
        <w:tc>
          <w:tcPr>
            <w:tcW w:w="5777" w:type="dxa"/>
          </w:tcPr>
          <w:p w14:paraId="43B87BC9" w14:textId="57DAED43" w:rsidR="00293041" w:rsidRPr="00C063C3" w:rsidRDefault="00293041" w:rsidP="0029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>станавливается в размере</w:t>
            </w:r>
            <w:r w:rsidR="00CE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590,52</w:t>
            </w:r>
            <w:r w:rsidR="006F258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Пятьсот девяносто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B505679" w14:textId="77777777" w:rsidR="00CD3C2F" w:rsidRPr="00CD3C2F" w:rsidRDefault="00CD3C2F" w:rsidP="00CD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 w:rsidSect="007A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E38"/>
    <w:multiLevelType w:val="hybridMultilevel"/>
    <w:tmpl w:val="8D6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2D7"/>
    <w:multiLevelType w:val="hybridMultilevel"/>
    <w:tmpl w:val="BCA6DE16"/>
    <w:lvl w:ilvl="0" w:tplc="75A82C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15C"/>
    <w:multiLevelType w:val="hybridMultilevel"/>
    <w:tmpl w:val="5852AD7A"/>
    <w:lvl w:ilvl="0" w:tplc="696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183"/>
    <w:multiLevelType w:val="hybridMultilevel"/>
    <w:tmpl w:val="6E58BE2A"/>
    <w:lvl w:ilvl="0" w:tplc="781A17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D793E"/>
    <w:multiLevelType w:val="hybridMultilevel"/>
    <w:tmpl w:val="DB3AC622"/>
    <w:lvl w:ilvl="0" w:tplc="0D420D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3533C"/>
    <w:multiLevelType w:val="hybridMultilevel"/>
    <w:tmpl w:val="0870300C"/>
    <w:lvl w:ilvl="0" w:tplc="40265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07FE"/>
    <w:multiLevelType w:val="hybridMultilevel"/>
    <w:tmpl w:val="C8F04DAA"/>
    <w:lvl w:ilvl="0" w:tplc="3E721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9958">
    <w:abstractNumId w:val="4"/>
  </w:num>
  <w:num w:numId="2" w16cid:durableId="399984611">
    <w:abstractNumId w:val="2"/>
  </w:num>
  <w:num w:numId="3" w16cid:durableId="1570992760">
    <w:abstractNumId w:val="8"/>
  </w:num>
  <w:num w:numId="4" w16cid:durableId="1132987151">
    <w:abstractNumId w:val="5"/>
  </w:num>
  <w:num w:numId="5" w16cid:durableId="1270163107">
    <w:abstractNumId w:val="7"/>
  </w:num>
  <w:num w:numId="6" w16cid:durableId="690423364">
    <w:abstractNumId w:val="6"/>
  </w:num>
  <w:num w:numId="7" w16cid:durableId="1134837460">
    <w:abstractNumId w:val="3"/>
  </w:num>
  <w:num w:numId="8" w16cid:durableId="1556818879">
    <w:abstractNumId w:val="1"/>
  </w:num>
  <w:num w:numId="9" w16cid:durableId="21334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254F3"/>
    <w:rsid w:val="00031D6F"/>
    <w:rsid w:val="00054487"/>
    <w:rsid w:val="00074527"/>
    <w:rsid w:val="000827BD"/>
    <w:rsid w:val="000A74F7"/>
    <w:rsid w:val="000D5DBE"/>
    <w:rsid w:val="000F72F4"/>
    <w:rsid w:val="00120F17"/>
    <w:rsid w:val="00135C03"/>
    <w:rsid w:val="00143872"/>
    <w:rsid w:val="00145C3E"/>
    <w:rsid w:val="001547E1"/>
    <w:rsid w:val="001676E9"/>
    <w:rsid w:val="00172319"/>
    <w:rsid w:val="00174608"/>
    <w:rsid w:val="001748E5"/>
    <w:rsid w:val="001767F3"/>
    <w:rsid w:val="0018318B"/>
    <w:rsid w:val="001A08E4"/>
    <w:rsid w:val="001A215F"/>
    <w:rsid w:val="001B1F07"/>
    <w:rsid w:val="001B365C"/>
    <w:rsid w:val="001B5E04"/>
    <w:rsid w:val="001D39F4"/>
    <w:rsid w:val="001D550A"/>
    <w:rsid w:val="001E3342"/>
    <w:rsid w:val="002134BE"/>
    <w:rsid w:val="00272362"/>
    <w:rsid w:val="002746CB"/>
    <w:rsid w:val="00275F93"/>
    <w:rsid w:val="002805DF"/>
    <w:rsid w:val="00293041"/>
    <w:rsid w:val="002930A0"/>
    <w:rsid w:val="002A0CB0"/>
    <w:rsid w:val="002B1383"/>
    <w:rsid w:val="002E41CF"/>
    <w:rsid w:val="00300BF2"/>
    <w:rsid w:val="00302474"/>
    <w:rsid w:val="003171F6"/>
    <w:rsid w:val="00320276"/>
    <w:rsid w:val="00324C74"/>
    <w:rsid w:val="003413FA"/>
    <w:rsid w:val="003535E9"/>
    <w:rsid w:val="00356892"/>
    <w:rsid w:val="00363102"/>
    <w:rsid w:val="0036510A"/>
    <w:rsid w:val="00390443"/>
    <w:rsid w:val="003962BC"/>
    <w:rsid w:val="003D63B1"/>
    <w:rsid w:val="003E2893"/>
    <w:rsid w:val="003E7864"/>
    <w:rsid w:val="003F253B"/>
    <w:rsid w:val="00401F35"/>
    <w:rsid w:val="004064F9"/>
    <w:rsid w:val="0042402C"/>
    <w:rsid w:val="00440945"/>
    <w:rsid w:val="004476D6"/>
    <w:rsid w:val="004550FD"/>
    <w:rsid w:val="00465C82"/>
    <w:rsid w:val="004A1C5E"/>
    <w:rsid w:val="004D3699"/>
    <w:rsid w:val="004E731C"/>
    <w:rsid w:val="00505DDB"/>
    <w:rsid w:val="005213A9"/>
    <w:rsid w:val="00523849"/>
    <w:rsid w:val="00534981"/>
    <w:rsid w:val="00534FE6"/>
    <w:rsid w:val="005473DA"/>
    <w:rsid w:val="00572A57"/>
    <w:rsid w:val="005B63FC"/>
    <w:rsid w:val="005C11FF"/>
    <w:rsid w:val="005C5154"/>
    <w:rsid w:val="005E1EC7"/>
    <w:rsid w:val="005E3B7B"/>
    <w:rsid w:val="005F784F"/>
    <w:rsid w:val="00602744"/>
    <w:rsid w:val="0061012C"/>
    <w:rsid w:val="00627F83"/>
    <w:rsid w:val="00632977"/>
    <w:rsid w:val="006408E3"/>
    <w:rsid w:val="006722B9"/>
    <w:rsid w:val="0067669A"/>
    <w:rsid w:val="006E620A"/>
    <w:rsid w:val="006F2583"/>
    <w:rsid w:val="006F5404"/>
    <w:rsid w:val="00702F7C"/>
    <w:rsid w:val="00705D42"/>
    <w:rsid w:val="007108E2"/>
    <w:rsid w:val="00712941"/>
    <w:rsid w:val="007341AE"/>
    <w:rsid w:val="00747B9F"/>
    <w:rsid w:val="00761D2C"/>
    <w:rsid w:val="007740FC"/>
    <w:rsid w:val="00781993"/>
    <w:rsid w:val="00796999"/>
    <w:rsid w:val="007A1B17"/>
    <w:rsid w:val="007B021C"/>
    <w:rsid w:val="007C6767"/>
    <w:rsid w:val="007D2695"/>
    <w:rsid w:val="007F2932"/>
    <w:rsid w:val="008141EA"/>
    <w:rsid w:val="00815E8D"/>
    <w:rsid w:val="0082206F"/>
    <w:rsid w:val="00836E41"/>
    <w:rsid w:val="00842005"/>
    <w:rsid w:val="00855955"/>
    <w:rsid w:val="00855CB8"/>
    <w:rsid w:val="00891110"/>
    <w:rsid w:val="008B3F66"/>
    <w:rsid w:val="008C220B"/>
    <w:rsid w:val="008C5701"/>
    <w:rsid w:val="008D191B"/>
    <w:rsid w:val="00905436"/>
    <w:rsid w:val="00945F72"/>
    <w:rsid w:val="00962D47"/>
    <w:rsid w:val="00970424"/>
    <w:rsid w:val="00970D40"/>
    <w:rsid w:val="009856F3"/>
    <w:rsid w:val="00995925"/>
    <w:rsid w:val="009A0760"/>
    <w:rsid w:val="009A444A"/>
    <w:rsid w:val="009B4888"/>
    <w:rsid w:val="009C0ADB"/>
    <w:rsid w:val="009D2B06"/>
    <w:rsid w:val="009D4C8C"/>
    <w:rsid w:val="009F1881"/>
    <w:rsid w:val="009F739F"/>
    <w:rsid w:val="009F7D3A"/>
    <w:rsid w:val="00A272FB"/>
    <w:rsid w:val="00A31A5A"/>
    <w:rsid w:val="00A32D5A"/>
    <w:rsid w:val="00A462E2"/>
    <w:rsid w:val="00A46394"/>
    <w:rsid w:val="00A5282D"/>
    <w:rsid w:val="00A52E7D"/>
    <w:rsid w:val="00A6158D"/>
    <w:rsid w:val="00A76829"/>
    <w:rsid w:val="00A95D15"/>
    <w:rsid w:val="00AB2A52"/>
    <w:rsid w:val="00AC09DD"/>
    <w:rsid w:val="00AD2AF2"/>
    <w:rsid w:val="00AE513E"/>
    <w:rsid w:val="00B34736"/>
    <w:rsid w:val="00B43131"/>
    <w:rsid w:val="00BB18ED"/>
    <w:rsid w:val="00BD698C"/>
    <w:rsid w:val="00BE23AF"/>
    <w:rsid w:val="00BF1AB8"/>
    <w:rsid w:val="00BF23A3"/>
    <w:rsid w:val="00C063C3"/>
    <w:rsid w:val="00C168C2"/>
    <w:rsid w:val="00C26AC0"/>
    <w:rsid w:val="00C35CA8"/>
    <w:rsid w:val="00C368F5"/>
    <w:rsid w:val="00C501AC"/>
    <w:rsid w:val="00C53910"/>
    <w:rsid w:val="00C562CB"/>
    <w:rsid w:val="00C74F2D"/>
    <w:rsid w:val="00C8713B"/>
    <w:rsid w:val="00C95076"/>
    <w:rsid w:val="00CA4257"/>
    <w:rsid w:val="00CB2499"/>
    <w:rsid w:val="00CC48B8"/>
    <w:rsid w:val="00CD3C2F"/>
    <w:rsid w:val="00CD604C"/>
    <w:rsid w:val="00CE1AA3"/>
    <w:rsid w:val="00CE458A"/>
    <w:rsid w:val="00CF7AED"/>
    <w:rsid w:val="00D10EC4"/>
    <w:rsid w:val="00D1487C"/>
    <w:rsid w:val="00D76F77"/>
    <w:rsid w:val="00D9292D"/>
    <w:rsid w:val="00D93B1D"/>
    <w:rsid w:val="00DB0C8E"/>
    <w:rsid w:val="00E108BC"/>
    <w:rsid w:val="00E37900"/>
    <w:rsid w:val="00E37B5F"/>
    <w:rsid w:val="00E44DFB"/>
    <w:rsid w:val="00E458D5"/>
    <w:rsid w:val="00E65D28"/>
    <w:rsid w:val="00E74F6F"/>
    <w:rsid w:val="00E804AA"/>
    <w:rsid w:val="00E9301C"/>
    <w:rsid w:val="00EA11ED"/>
    <w:rsid w:val="00EB2E78"/>
    <w:rsid w:val="00EB53D3"/>
    <w:rsid w:val="00EE1521"/>
    <w:rsid w:val="00EE3B55"/>
    <w:rsid w:val="00EF2BC0"/>
    <w:rsid w:val="00EF7DF4"/>
    <w:rsid w:val="00F11451"/>
    <w:rsid w:val="00F11E9B"/>
    <w:rsid w:val="00F45D45"/>
    <w:rsid w:val="00F51EBE"/>
    <w:rsid w:val="00F61835"/>
    <w:rsid w:val="00F62980"/>
    <w:rsid w:val="00FA2FB9"/>
    <w:rsid w:val="00FA4992"/>
    <w:rsid w:val="00FE643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E5280"/>
  <w15:docId w15:val="{676C0159-45D6-44C1-B234-6035BB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1D6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1D6F"/>
    <w:rPr>
      <w:b/>
      <w:bCs/>
      <w:sz w:val="20"/>
      <w:szCs w:val="20"/>
    </w:rPr>
  </w:style>
  <w:style w:type="paragraph" w:customStyle="1" w:styleId="ConsPlusNormal">
    <w:name w:val="ConsPlusNormal"/>
    <w:rsid w:val="004A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2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5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102</cp:revision>
  <cp:lastPrinted>2024-03-27T07:59:00Z</cp:lastPrinted>
  <dcterms:created xsi:type="dcterms:W3CDTF">2019-11-13T09:52:00Z</dcterms:created>
  <dcterms:modified xsi:type="dcterms:W3CDTF">2024-05-29T11:46:00Z</dcterms:modified>
</cp:coreProperties>
</file>