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AAB" w:rsidRDefault="002968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ОСНОВНЫЕ ИЗМЕНЕНИЯ В ТРУДОВОМ ЗАКОНОДАТЕЛЬСТВЕ </w:t>
      </w:r>
    </w:p>
    <w:p w:rsidR="005A5AAB" w:rsidRDefault="002968E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2025 ГОДУ </w:t>
      </w:r>
    </w:p>
    <w:p w:rsidR="005A5AAB" w:rsidRDefault="005A5A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A5AAB" w:rsidRDefault="002968E0">
      <w:pPr>
        <w:pStyle w:val="afb"/>
        <w:numPr>
          <w:ilvl w:val="0"/>
          <w:numId w:val="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</w:rPr>
        <w:t xml:space="preserve">С 1 января 2025 года минимальный </w:t>
      </w:r>
      <w:proofErr w:type="gramStart"/>
      <w:r>
        <w:rPr>
          <w:rFonts w:ascii="Arial" w:eastAsia="Arial" w:hAnsi="Arial" w:cs="Arial"/>
          <w:b/>
          <w:color w:val="000000" w:themeColor="text1"/>
          <w:sz w:val="24"/>
        </w:rPr>
        <w:t>размер оплаты труда</w:t>
      </w:r>
      <w:proofErr w:type="gramEnd"/>
      <w:r>
        <w:rPr>
          <w:rFonts w:ascii="Arial" w:eastAsia="Arial" w:hAnsi="Arial" w:cs="Arial"/>
          <w:b/>
          <w:color w:val="000000" w:themeColor="text1"/>
          <w:sz w:val="24"/>
        </w:rPr>
        <w:t xml:space="preserve"> составляет 22 440 рублей в месяц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"/>
        <w:gridCol w:w="9343"/>
      </w:tblGrid>
      <w:tr w:rsidR="005A5AAB">
        <w:tc>
          <w:tcPr>
            <w:tcW w:w="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p w:rsidR="005A5AAB" w:rsidRDefault="002968E0">
            <w:pPr>
              <w:spacing w:line="57" w:lineRule="atLeas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" cy="142875"/>
                      <wp:effectExtent l="0" t="0" r="0" b="0"/>
                      <wp:docPr id="1" name="Рисунок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26082629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9.00pt;height:11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AAB" w:rsidRDefault="00296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от 29.10.2024 № 365-ФЗ</w:t>
            </w:r>
          </w:p>
        </w:tc>
      </w:tr>
    </w:tbl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В соответствии со статьей 133.1 Трудового кодекса Российской Федерации в Удмуртской Республике ежегодно заключается региональное соглашение, определяющее размер минимальной заработной платы.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настоящее время указанный проект регионального соглашения проходит процедуру согласования. 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Исходя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МРОТ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на 2025 год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минимальная месячная заработная плата в Удмуртской Республике (с учетом регионального коэффициента) с 1 января 2025 года составит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25 80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 рублей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>при услов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ии, что работником полностью отработана за этот период норма рабочего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времени и</w:t>
      </w:r>
      <w:r>
        <w:rPr>
          <w:rFonts w:ascii="Times New Roman" w:hAnsi="Times New Roman" w:cs="Times New Roman"/>
          <w:color w:val="000000" w:themeColor="text1"/>
          <w:sz w:val="24"/>
          <w:szCs w:val="20"/>
        </w:rPr>
        <w:t xml:space="preserve"> выполнены нормы труда (трудовые обязанности). 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Style w:val="afb"/>
        <w:numPr>
          <w:ilvl w:val="0"/>
          <w:numId w:val="12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</w:rPr>
        <w:t>С 6 января 2025 года уточнен перечень индикаторов риска для проверок государственной инспекцией труда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"/>
        <w:gridCol w:w="9343"/>
      </w:tblGrid>
      <w:tr w:rsidR="005A5AAB">
        <w:tc>
          <w:tcPr>
            <w:tcW w:w="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p w:rsidR="005A5AAB" w:rsidRDefault="002968E0">
            <w:pPr>
              <w:spacing w:line="57" w:lineRule="atLeas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" cy="142875"/>
                      <wp:effectExtent l="0" t="0" r="0" b="0"/>
                      <wp:docPr id="2" name="Рисунок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8858790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9.00pt;height:11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AAB" w:rsidRDefault="00296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Минтруда России от 28.11.2024 № 640н</w:t>
            </w:r>
          </w:p>
        </w:tc>
      </w:tr>
    </w:tbl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список индикаторов, которые используют при решении вопроса о проведении внеплановой проверки работодателя и выборе ее вида,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добавлено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сотрудничество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самозанятыми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а также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поступление информации о снижении заработной платы в отчетном квартале по сравнению с аналогичным кварталом предыдущего года у более чем 25% работников медицинской организации категории «врачи», медицинских работников с высшим (немедицинским) образованием,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среднего медицинского персонала, младшего медицинского персонала.</w:t>
      </w:r>
      <w:proofErr w:type="gramEnd"/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Уточнен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индикатор о заработной плате ниже МРОТ. Его используют, если за каждый месяц предыдущего квартала ниже МРОТ оплачивался труд 60 и более сотрудников, в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</w:rPr>
        <w:t>случаях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когда доля таких специалистов не менее 50% от всего персонала организации.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Скорректирован такой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индикатор как отсутствие кадровых изменений при сокращении обязательных отчислений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СФР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на 50%. Теперь показатель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применяют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 если в штате от 15 человек, при этом их число за квартал не уменьшилось, а фонд оплаты труда сократили на 80% и более.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Style w:val="afb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sz w:val="24"/>
        </w:rPr>
        <w:t xml:space="preserve">С 1 марта </w:t>
      </w:r>
      <w:r>
        <w:rPr>
          <w:rFonts w:ascii="Arial" w:eastAsia="Arial" w:hAnsi="Arial" w:cs="Arial"/>
          <w:b/>
          <w:color w:val="000000" w:themeColor="text1"/>
          <w:sz w:val="24"/>
        </w:rPr>
        <w:t>2025 года заработают поправки с гарантиями для лиц, заключивших контракт о прохождении военной службы</w:t>
      </w:r>
      <w:r>
        <w:rPr>
          <w:rFonts w:ascii="Arial" w:eastAsia="Arial" w:hAnsi="Arial" w:cs="Arial"/>
          <w:b/>
          <w:color w:val="000000" w:themeColor="text1"/>
          <w:sz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"/>
        <w:gridCol w:w="9343"/>
      </w:tblGrid>
      <w:tr w:rsidR="005A5AAB">
        <w:tc>
          <w:tcPr>
            <w:tcW w:w="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p w:rsidR="005A5AAB" w:rsidRDefault="002968E0">
            <w:pPr>
              <w:spacing w:line="57" w:lineRule="atLeas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" cy="142875"/>
                      <wp:effectExtent l="0" t="0" r="0" b="0"/>
                      <wp:docPr id="3" name="Рисунок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21924276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9.00pt;height:11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AAB" w:rsidRDefault="00296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от 26.12.2024 № 498-ФЗ</w:t>
            </w:r>
          </w:p>
        </w:tc>
      </w:tr>
    </w:tbl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Работодатели будут обязаны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приостанавливать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действие трудового договора со специалистом на весь срок контракта о прохождении им военной службы в период мобилизации, военного положения или в военное время. В настоящее время гарантия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закреплена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ТК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РФ с отсылкой к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норме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, где срок контракта ограничен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(год или меньший период).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Аналогичные изменения коснутся и срока предоставления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гарантий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родителям с детьми в возрасте до 14 лет, если другой родитель проходит военную службу по контракту.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Style w:val="afb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С 1 марта 2025 года вступят в силу </w:t>
      </w: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основные направления противодействия формированию просроченной задолженности по заработной плате в Российской Федерации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"/>
        <w:gridCol w:w="9343"/>
      </w:tblGrid>
      <w:tr w:rsidR="005A5AAB">
        <w:tc>
          <w:tcPr>
            <w:tcW w:w="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p w:rsidR="005A5AAB" w:rsidRDefault="002968E0">
            <w:pPr>
              <w:spacing w:line="57" w:lineRule="atLeas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" cy="142875"/>
                      <wp:effectExtent l="0" t="0" r="0" b="0"/>
                      <wp:docPr id="4" name="Рисунок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9587141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9.00pt;height:11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AAB" w:rsidRDefault="00296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от 08.08.2024 № 268-ФЗ</w:t>
            </w:r>
          </w:p>
        </w:tc>
      </w:tr>
    </w:tbl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В новой статье 158.1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ТК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РФ закрепят меры, направленные на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противодействие формированию просроченной задолженности по заработной плате: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- профилактику и мониторинг;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- ответственность за нарушение сроков выплаты;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- содействие в погашении задолженности по заработной плате;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- разъяснительную работу с участием сторон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социального партнерства.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Для координации деятельности в этой сфере в субъектах Российской Федерации будут сформированы межведомственные комиссии.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Style w:val="afb"/>
        <w:numPr>
          <w:ilvl w:val="0"/>
          <w:numId w:val="1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</w:rPr>
        <w:t>С 1 марта 2025 года вступят в силу поправки о компенсации при увольнении неиспользованных отгулов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"/>
        <w:gridCol w:w="9343"/>
      </w:tblGrid>
      <w:tr w:rsidR="005A5AAB">
        <w:tc>
          <w:tcPr>
            <w:tcW w:w="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p w:rsidR="005A5AAB" w:rsidRDefault="002968E0">
            <w:pPr>
              <w:spacing w:line="57" w:lineRule="atLeas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" cy="142875"/>
                      <wp:effectExtent l="0" t="0" r="0" b="0"/>
                      <wp:docPr id="5" name="Рисуно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13531775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4" o:spid="_x0000_s4" type="#_x0000_t75" style="width:9.00pt;height:11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AAB" w:rsidRDefault="00296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от 30.09.2024 № 339-ФЗ</w:t>
            </w:r>
          </w:p>
        </w:tc>
      </w:tr>
    </w:tbl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Закреплена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обязанность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работодателей выплачивать при увольнении компенсацию за неиспользованные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дни отдыха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за работу в выходные и праздники. Специалист должен получить разницу между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повышенной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и уже начисленной оплатой. Речь идет обо всех не использованных в период трудовой деятельности у конкретного работодателя отгулах.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17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Уточнено также, что взять день отдыха работник вправе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в течение года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</w:rPr>
        <w:t>с даты выполнения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обязанностей в выходной или праздник.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Сотрудник также может присоединить отгул к отпуску в этом периоде.</w:t>
      </w:r>
    </w:p>
    <w:p w:rsidR="005A5AAB" w:rsidRDefault="005A5AAB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5A5AAB" w:rsidRDefault="002968E0">
      <w:pPr>
        <w:pStyle w:val="afb"/>
        <w:numPr>
          <w:ilvl w:val="0"/>
          <w:numId w:val="17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0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sz w:val="24"/>
        </w:rPr>
        <w:t xml:space="preserve">С 1 марта 2025 года вступят в силу изменения в </w:t>
      </w:r>
      <w:proofErr w:type="spellStart"/>
      <w:r>
        <w:rPr>
          <w:rFonts w:ascii="Arial" w:eastAsia="Arial" w:hAnsi="Arial" w:cs="Arial"/>
          <w:b/>
          <w:color w:val="000000" w:themeColor="text1"/>
          <w:sz w:val="24"/>
        </w:rPr>
        <w:t>ТК</w:t>
      </w:r>
      <w:proofErr w:type="spellEnd"/>
      <w:r>
        <w:rPr>
          <w:rFonts w:ascii="Arial" w:eastAsia="Arial" w:hAnsi="Arial" w:cs="Arial"/>
          <w:b/>
          <w:color w:val="000000" w:themeColor="text1"/>
          <w:sz w:val="24"/>
        </w:rPr>
        <w:t xml:space="preserve"> РФ о наставничестве</w:t>
      </w:r>
      <w:r>
        <w:rPr>
          <w:rFonts w:ascii="Arial" w:eastAsia="Arial" w:hAnsi="Arial" w:cs="Arial"/>
          <w:b/>
          <w:color w:val="000000" w:themeColor="text1"/>
          <w:sz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"/>
        <w:gridCol w:w="9343"/>
      </w:tblGrid>
      <w:tr w:rsidR="005A5AAB">
        <w:tc>
          <w:tcPr>
            <w:tcW w:w="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p w:rsidR="005A5AAB" w:rsidRDefault="002968E0">
            <w:pPr>
              <w:spacing w:line="57" w:lineRule="atLeas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" cy="142875"/>
                      <wp:effectExtent l="0" t="0" r="0" b="0"/>
                      <wp:docPr id="6" name="Рисуно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8204453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5" o:spid="_x0000_s5" type="#_x0000_t75" style="width:9.00pt;height:11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AAB" w:rsidRDefault="00296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Федеральный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закон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от 09.11.2024 № 381-ФЗ</w:t>
            </w:r>
          </w:p>
        </w:tc>
      </w:tr>
    </w:tbl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Кодекс будет дополнен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статьей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 особенностями регулирования труда наставников. Поручить такие функции специалисту можно будет с его письменного согласия. Под ними подразумевают помощь коллеге в овладении навыками работы по профессии или специальности. Содержание, сроки, форму выполнен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ия обязанностей и оплату за них потребуется указать в трудовом договоре или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допсоглашении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к нему.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Федеральными законами, иными нормативными правовыми актами Российской Федерации, законами и иными нормативными правовыми актами субъектов Российской Федераци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и, нормативными правовыми актами органов местного самоуправления могут устанавливаться размеры и условия осуществления выплат за наставничество работникам соответственно федеральных государственных учреждений, государственных учреждений субъектов Российско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й Федерации, муниципальных учреждений.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168" w:after="0" w:line="17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Размеры и условия осуществления выплат за наставничество работникам иных организаций могут устанавливаться коллективными договорами, соглашениями, локальными нормативными актами.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Style w:val="afb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</w:rPr>
        <w:lastRenderedPageBreak/>
        <w:t>С 1 марта 2025 года вступят в силу новые требования к аптечке первой помощи для работников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"/>
        <w:gridCol w:w="9343"/>
      </w:tblGrid>
      <w:tr w:rsidR="005A5AAB">
        <w:tc>
          <w:tcPr>
            <w:tcW w:w="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p w:rsidR="005A5AAB" w:rsidRDefault="002968E0">
            <w:pPr>
              <w:spacing w:line="57" w:lineRule="atLeas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" cy="142875"/>
                      <wp:effectExtent l="0" t="0" r="0" b="0"/>
                      <wp:docPr id="7" name="Рисуно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21595687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6" o:spid="_x0000_s6" type="#_x0000_t75" style="width:9.00pt;height:11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AAB" w:rsidRDefault="00296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Минтруда России от 09.08.2024 № 398н</w:t>
            </w:r>
          </w:p>
        </w:tc>
      </w:tr>
    </w:tbl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устанавливает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как размещать, хранить и использовать аптечки для оказания первой помощи персоналу. В настоящее время действуют только требования к их комплектации.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540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Приказом закрепляется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обязанность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аботодателя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 xml:space="preserve">обеспечить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контроль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за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комплектацией ап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течек, пополнением аптечек, сроком службы (сроком годности) медицинских изделий, которыми укомплектованы аптечки, и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  <w:t>установить периодичность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осуществления такого контроля. Места для размещения и хранения аптечек должны быть обозначены соответствующими сигн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альными цветами и знаками. Количество мест для размещения и хранения аптечек, а также количество аптечек определяется работодателем исходя из среднесписочной численности организации, специфики деятельности организации, результатов оценки профессиональных р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исков с учетом мнения выборного органа первичной профсоюзной организации или иного уполномоченного представительного органа работников (при наличии).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Style w:val="afb"/>
        <w:numPr>
          <w:ilvl w:val="0"/>
          <w:numId w:val="19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color w:val="000000" w:themeColor="text1"/>
          <w:sz w:val="24"/>
        </w:rPr>
        <w:t>С 1 марта 2025 года вносятся поправки в части противопоказаний для отдельных видов работ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color w:val="000000" w:themeColor="text1"/>
        </w:rPr>
      </w:pP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"/>
        <w:gridCol w:w="9343"/>
      </w:tblGrid>
      <w:tr w:rsidR="005A5AAB">
        <w:tc>
          <w:tcPr>
            <w:tcW w:w="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p w:rsidR="005A5AAB" w:rsidRDefault="002968E0">
            <w:pPr>
              <w:spacing w:line="57" w:lineRule="atLeas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" cy="142875"/>
                      <wp:effectExtent l="0" t="0" r="0" b="0"/>
                      <wp:docPr id="8" name="Рисунок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30864414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7" o:spid="_x0000_s7" type="#_x0000_t75" style="width:9.00pt;height:11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AAB" w:rsidRDefault="00296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Минздрава России от 02.10.2024 № 509н</w:t>
            </w:r>
          </w:p>
        </w:tc>
      </w:tr>
    </w:tbl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ind w:firstLine="540"/>
        <w:jc w:val="both"/>
        <w:rPr>
          <w:color w:val="000000" w:themeColor="text1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Поправки вносятся в приказ Министерства здравоохранения Российской Федерации от 28.01.2021 № 29н «Об утверждении Порядка проведения обязательных предварительных и периодических медицинских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орых проводятся обязательные предварительные и периодические медицинские осмотры» и касаются работников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кондуктивной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</w:rPr>
        <w:t>нейросенсорной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</w:rPr>
        <w:t>, смешанной формой потери слуха с одно- или двусторонним снижением слуха или глухотой.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0"/>
        <w:jc w:val="both"/>
        <w:rPr>
          <w:color w:val="000000" w:themeColor="text1"/>
        </w:rPr>
      </w:pPr>
      <w:r>
        <w:rPr>
          <w:rFonts w:ascii="Arial" w:eastAsia="Arial" w:hAnsi="Arial" w:cs="Arial"/>
          <w:b/>
          <w:color w:val="000000" w:themeColor="text1"/>
          <w:sz w:val="24"/>
        </w:rPr>
        <w:t>До 1 сентября 2025 года разрешено</w:t>
      </w:r>
      <w:r>
        <w:rPr>
          <w:rFonts w:ascii="Arial" w:eastAsia="Arial" w:hAnsi="Arial" w:cs="Arial"/>
          <w:b/>
          <w:color w:val="000000" w:themeColor="text1"/>
          <w:sz w:val="24"/>
        </w:rPr>
        <w:t xml:space="preserve"> вести бумажные медицинские книжки</w:t>
      </w:r>
      <w:r>
        <w:rPr>
          <w:rFonts w:ascii="Arial" w:eastAsia="Arial" w:hAnsi="Arial" w:cs="Arial"/>
          <w:b/>
          <w:color w:val="000000" w:themeColor="text1"/>
          <w:sz w:val="24"/>
        </w:rPr>
        <w:br/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330"/>
        <w:gridCol w:w="9343"/>
      </w:tblGrid>
      <w:tr w:rsidR="005A5AAB">
        <w:tc>
          <w:tcPr>
            <w:tcW w:w="1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p w:rsidR="005A5AAB" w:rsidRDefault="002968E0">
            <w:pPr>
              <w:spacing w:line="57" w:lineRule="atLeas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" cy="142875"/>
                      <wp:effectExtent l="0" t="0" r="0" b="0"/>
                      <wp:docPr id="9" name="Рисунок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83377540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8" o:spid="_x0000_s8" type="#_x0000_t75" style="width:9.00pt;height:11.25pt;mso-wrap-distance-left:0.00pt;mso-wrap-distance-top:0.00pt;mso-wrap-distance-right:0.00pt;mso-wrap-distance-bottom:0.00pt;" stroked="false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9343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AAB" w:rsidRDefault="00296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88" w:lineRule="atLeast"/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Приказ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Минздрава России от 28.06.2024 № 332н</w:t>
            </w:r>
          </w:p>
        </w:tc>
      </w:tr>
    </w:tbl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 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На год продлен переходный период, в течение которого можно выдавать и вести медкнижки на бумажном носителе.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Style w:val="afb"/>
        <w:numPr>
          <w:ilvl w:val="0"/>
          <w:numId w:val="20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88" w:lineRule="atLeast"/>
        <w:ind w:left="0" w:firstLine="0"/>
        <w:jc w:val="both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Разработаны единые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2025 год</w:t>
      </w: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168" w:lineRule="atLeast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17"/>
        </w:rPr>
        <w:t> </w:t>
      </w:r>
    </w:p>
    <w:tbl>
      <w:tblPr>
        <w:tblStyle w:val="af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0"/>
        <w:gridCol w:w="9875"/>
      </w:tblGrid>
      <w:tr w:rsidR="005A5AAB">
        <w:tc>
          <w:tcPr>
            <w:tcW w:w="33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150" w:type="dxa"/>
            </w:tcMar>
          </w:tcPr>
          <w:p w:rsidR="005A5AAB" w:rsidRDefault="002968E0">
            <w:pPr>
              <w:spacing w:line="57" w:lineRule="atLeas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14300" cy="142875"/>
                      <wp:effectExtent l="0" t="0" r="0" b="0"/>
                      <wp:docPr id="10" name="Рисунок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74246722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8"/>
                              <a:stretch/>
                            </pic:blipFill>
                            <pic:spPr bwMode="auto">
                              <a:xfrm>
                                <a:off x="0" y="0"/>
                                <a:ext cx="114300" cy="1428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 xmlns:w15="http://schemas.microsoft.com/office/word/2012/wordml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9" o:spid="_x0000_s9" type="#_x0000_t75" style="width:9.00pt;height:11.25pt;mso-wrap-distance-left:0.00pt;mso-wrap-distance-top:0.00pt;mso-wrap-distance-right:0.00pt;mso-wrap-distance-bottom:0.00pt;" stroked="false">
                      <v:path textboxrect="0,0,0,0"/>
                      <v:imagedata r:id="rId10" o:title=""/>
                    </v:shape>
                  </w:pict>
                </mc:Fallback>
              </mc:AlternateContent>
            </w:r>
          </w:p>
        </w:tc>
        <w:tc>
          <w:tcPr>
            <w:tcW w:w="987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A5AAB" w:rsidRDefault="002968E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17" w:lineRule="atLeast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«Единые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 xml:space="preserve"> рекомендации по установлению на федеральном, региональном и местном уровнях систем оплаты труда работников государственных и муниципальных учреждений на 2025 год»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br/>
              <w:t>(утв. решением Российской трехсторонней комиссии по регулированию социально-трудовых отношен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1"/>
              </w:rPr>
              <w:t>ий от 23.12.2024, протокол № 10пр)</w:t>
            </w:r>
          </w:p>
        </w:tc>
      </w:tr>
    </w:tbl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Рекомендации учитываются органами государственной власти субъектов Российской Федерации и органами местного самоуправления при определении объемов финансового обеспечения 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lastRenderedPageBreak/>
        <w:t>деятельности государственных и муниципальных учр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>еждений и разработке законов и иных нормативных правовых актов по оплате труда работников указанных учреждений.</w:t>
      </w:r>
    </w:p>
    <w:p w:rsidR="005A5AAB" w:rsidRDefault="005A5AA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A5AAB" w:rsidRDefault="002968E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17" w:lineRule="atLeast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>В документе приведены, в частности, принципы формирования региональных и муниципальных систем оплаты труда, перечень норм и условий оплаты труд</w:t>
      </w: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а, а также определены особенности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</w:rPr>
        <w:t>формирования систем оплаты труда работников сферы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 образования, учреждений здравоохранения, физической культуры и спорта, ветеринарии, лесного хозяйства, службы занятости населения, ЖКХ.</w:t>
      </w:r>
    </w:p>
    <w:p w:rsidR="005A5AAB" w:rsidRDefault="005A5AAB">
      <w:pPr>
        <w:spacing w:after="0" w:line="17" w:lineRule="atLeas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005A5AAB">
      <w:pgSz w:w="11906" w:h="16840"/>
      <w:pgMar w:top="851" w:right="567" w:bottom="965" w:left="1134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8E0" w:rsidRDefault="002968E0">
      <w:pPr>
        <w:spacing w:after="0" w:line="240" w:lineRule="auto"/>
      </w:pPr>
      <w:r>
        <w:separator/>
      </w:r>
    </w:p>
  </w:endnote>
  <w:endnote w:type="continuationSeparator" w:id="0">
    <w:p w:rsidR="002968E0" w:rsidRDefault="00296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8E0" w:rsidRDefault="002968E0">
      <w:pPr>
        <w:spacing w:after="0" w:line="240" w:lineRule="auto"/>
      </w:pPr>
      <w:r>
        <w:separator/>
      </w:r>
    </w:p>
  </w:footnote>
  <w:footnote w:type="continuationSeparator" w:id="0">
    <w:p w:rsidR="002968E0" w:rsidRDefault="002968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B0DE9"/>
    <w:multiLevelType w:val="hybridMultilevel"/>
    <w:tmpl w:val="97C03D5E"/>
    <w:lvl w:ilvl="0" w:tplc="8F9838FE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D1E863A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5965B6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9A05E9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86E76F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68296E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4F32A89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72B646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18A2C8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>
    <w:nsid w:val="0843175D"/>
    <w:multiLevelType w:val="hybridMultilevel"/>
    <w:tmpl w:val="E1B6B7DE"/>
    <w:lvl w:ilvl="0" w:tplc="5DC6F110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A83EC61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FCA81A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52257A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9E8D4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B64A7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8B0B20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E8853D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B5899E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>
    <w:nsid w:val="12CC583C"/>
    <w:multiLevelType w:val="hybridMultilevel"/>
    <w:tmpl w:val="787A3F56"/>
    <w:lvl w:ilvl="0" w:tplc="1628622C">
      <w:start w:val="1"/>
      <w:numFmt w:val="bullet"/>
      <w:lvlText w:val="Ø"/>
      <w:lvlJc w:val="left"/>
      <w:pPr>
        <w:ind w:left="1249" w:hanging="360"/>
      </w:pPr>
      <w:rPr>
        <w:rFonts w:ascii="Wingdings" w:eastAsia="Wingdings" w:hAnsi="Wingdings" w:cs="Wingdings"/>
      </w:rPr>
    </w:lvl>
    <w:lvl w:ilvl="1" w:tplc="967CAA00">
      <w:start w:val="1"/>
      <w:numFmt w:val="bullet"/>
      <w:lvlText w:val="o"/>
      <w:lvlJc w:val="left"/>
      <w:pPr>
        <w:ind w:left="1969" w:hanging="360"/>
      </w:pPr>
      <w:rPr>
        <w:rFonts w:ascii="Courier New" w:eastAsia="Courier New" w:hAnsi="Courier New" w:cs="Courier New" w:hint="default"/>
      </w:rPr>
    </w:lvl>
    <w:lvl w:ilvl="2" w:tplc="57D60316">
      <w:start w:val="1"/>
      <w:numFmt w:val="bullet"/>
      <w:lvlText w:val="§"/>
      <w:lvlJc w:val="left"/>
      <w:pPr>
        <w:ind w:left="2689" w:hanging="360"/>
      </w:pPr>
      <w:rPr>
        <w:rFonts w:ascii="Wingdings" w:eastAsia="Wingdings" w:hAnsi="Wingdings" w:cs="Wingdings" w:hint="default"/>
      </w:rPr>
    </w:lvl>
    <w:lvl w:ilvl="3" w:tplc="D5C43E70">
      <w:start w:val="1"/>
      <w:numFmt w:val="bullet"/>
      <w:lvlText w:val="·"/>
      <w:lvlJc w:val="left"/>
      <w:pPr>
        <w:ind w:left="3409" w:hanging="360"/>
      </w:pPr>
      <w:rPr>
        <w:rFonts w:ascii="Symbol" w:eastAsia="Symbol" w:hAnsi="Symbol" w:cs="Symbol" w:hint="default"/>
      </w:rPr>
    </w:lvl>
    <w:lvl w:ilvl="4" w:tplc="CAA25976">
      <w:start w:val="1"/>
      <w:numFmt w:val="bullet"/>
      <w:lvlText w:val="o"/>
      <w:lvlJc w:val="left"/>
      <w:pPr>
        <w:ind w:left="4129" w:hanging="360"/>
      </w:pPr>
      <w:rPr>
        <w:rFonts w:ascii="Courier New" w:eastAsia="Courier New" w:hAnsi="Courier New" w:cs="Courier New" w:hint="default"/>
      </w:rPr>
    </w:lvl>
    <w:lvl w:ilvl="5" w:tplc="83861B5E">
      <w:start w:val="1"/>
      <w:numFmt w:val="bullet"/>
      <w:lvlText w:val="§"/>
      <w:lvlJc w:val="left"/>
      <w:pPr>
        <w:ind w:left="4849" w:hanging="360"/>
      </w:pPr>
      <w:rPr>
        <w:rFonts w:ascii="Wingdings" w:eastAsia="Wingdings" w:hAnsi="Wingdings" w:cs="Wingdings" w:hint="default"/>
      </w:rPr>
    </w:lvl>
    <w:lvl w:ilvl="6" w:tplc="33EAFDC8">
      <w:start w:val="1"/>
      <w:numFmt w:val="bullet"/>
      <w:lvlText w:val="·"/>
      <w:lvlJc w:val="left"/>
      <w:pPr>
        <w:ind w:left="5569" w:hanging="360"/>
      </w:pPr>
      <w:rPr>
        <w:rFonts w:ascii="Symbol" w:eastAsia="Symbol" w:hAnsi="Symbol" w:cs="Symbol" w:hint="default"/>
      </w:rPr>
    </w:lvl>
    <w:lvl w:ilvl="7" w:tplc="9070C1D4">
      <w:start w:val="1"/>
      <w:numFmt w:val="bullet"/>
      <w:lvlText w:val="o"/>
      <w:lvlJc w:val="left"/>
      <w:pPr>
        <w:ind w:left="6289" w:hanging="360"/>
      </w:pPr>
      <w:rPr>
        <w:rFonts w:ascii="Courier New" w:eastAsia="Courier New" w:hAnsi="Courier New" w:cs="Courier New" w:hint="default"/>
      </w:rPr>
    </w:lvl>
    <w:lvl w:ilvl="8" w:tplc="7DCEE138">
      <w:start w:val="1"/>
      <w:numFmt w:val="bullet"/>
      <w:lvlText w:val="§"/>
      <w:lvlJc w:val="left"/>
      <w:pPr>
        <w:ind w:left="7009" w:hanging="360"/>
      </w:pPr>
      <w:rPr>
        <w:rFonts w:ascii="Wingdings" w:eastAsia="Wingdings" w:hAnsi="Wingdings" w:cs="Wingdings" w:hint="default"/>
      </w:rPr>
    </w:lvl>
  </w:abstractNum>
  <w:abstractNum w:abstractNumId="3">
    <w:nsid w:val="14221ACF"/>
    <w:multiLevelType w:val="hybridMultilevel"/>
    <w:tmpl w:val="4DE83742"/>
    <w:lvl w:ilvl="0" w:tplc="6674DC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621A14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1A0D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8671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A878D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8200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88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C82D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16C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A4BCA"/>
    <w:multiLevelType w:val="hybridMultilevel"/>
    <w:tmpl w:val="AC8ADB2C"/>
    <w:lvl w:ilvl="0" w:tplc="E9168CD4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0FC662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E1AE4C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DD439B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CECC7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91A4BA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0EEDCA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CF214A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7989D5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>
    <w:nsid w:val="1E21157A"/>
    <w:multiLevelType w:val="hybridMultilevel"/>
    <w:tmpl w:val="272E9906"/>
    <w:lvl w:ilvl="0" w:tplc="FF0058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775801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A82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9A69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280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ECC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DEF3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380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E065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FD5A32"/>
    <w:multiLevelType w:val="hybridMultilevel"/>
    <w:tmpl w:val="165E7D2A"/>
    <w:lvl w:ilvl="0" w:tplc="15F26394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79C050A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E13C484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3A2AA9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64A44A8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27807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460771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C28F76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BA4F6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7">
    <w:nsid w:val="21002D2A"/>
    <w:multiLevelType w:val="hybridMultilevel"/>
    <w:tmpl w:val="BDBA369C"/>
    <w:lvl w:ilvl="0" w:tplc="7408C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7E621A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D68E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E27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27A9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5811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E52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5AFC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C16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A727EA"/>
    <w:multiLevelType w:val="hybridMultilevel"/>
    <w:tmpl w:val="0EC05720"/>
    <w:lvl w:ilvl="0" w:tplc="D3D6430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6A6FAB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C9C614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467C896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0244D9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F704B9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680BF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E778830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B86262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9">
    <w:nsid w:val="282269EE"/>
    <w:multiLevelType w:val="hybridMultilevel"/>
    <w:tmpl w:val="47587132"/>
    <w:lvl w:ilvl="0" w:tplc="08AC2A8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  <w:sz w:val="32"/>
      </w:rPr>
    </w:lvl>
    <w:lvl w:ilvl="1" w:tplc="94DA006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4801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D0DE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FEFC1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D5892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5E3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C92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CE65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33012"/>
    <w:multiLevelType w:val="hybridMultilevel"/>
    <w:tmpl w:val="AA1C7348"/>
    <w:lvl w:ilvl="0" w:tplc="172A0D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41EF6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D9EF3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A7AF1E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AB875D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8661A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12E2AB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6FA75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BBAB4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43363B"/>
    <w:multiLevelType w:val="hybridMultilevel"/>
    <w:tmpl w:val="73248D74"/>
    <w:lvl w:ilvl="0" w:tplc="0A72039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C130D5F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168BF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7493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582C7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1CAC43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34497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15B8B81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82A88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2">
    <w:nsid w:val="383B5FCD"/>
    <w:multiLevelType w:val="hybridMultilevel"/>
    <w:tmpl w:val="18608FA6"/>
    <w:lvl w:ilvl="0" w:tplc="548870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EF034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6A0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A54A5A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4165C3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8D8A8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746375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2158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58A2CE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05633E"/>
    <w:multiLevelType w:val="hybridMultilevel"/>
    <w:tmpl w:val="10DADDBC"/>
    <w:lvl w:ilvl="0" w:tplc="FEFEF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D4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8A13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90A30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10B36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00A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96B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2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163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9C20B2"/>
    <w:multiLevelType w:val="hybridMultilevel"/>
    <w:tmpl w:val="03FE89F4"/>
    <w:lvl w:ilvl="0" w:tplc="F4563886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BA480A6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08D35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3A05CB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6BA576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0A4E4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FACAA0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0AF2383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612459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5">
    <w:nsid w:val="54CD0B5B"/>
    <w:multiLevelType w:val="hybridMultilevel"/>
    <w:tmpl w:val="85908E8A"/>
    <w:lvl w:ilvl="0" w:tplc="E3EEAB6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CFF442D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C9489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48CCC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D247E1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F9C510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F95E201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B58D51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E9A3DB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>
    <w:nsid w:val="68276DBD"/>
    <w:multiLevelType w:val="hybridMultilevel"/>
    <w:tmpl w:val="5ED47634"/>
    <w:lvl w:ilvl="0" w:tplc="0B54CF7C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67D00F44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BE6B64E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85FEC4F4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7048EAB6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F6EAF1E0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CFEE5CE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6916D990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1E9EE22A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6CE73765"/>
    <w:multiLevelType w:val="hybridMultilevel"/>
    <w:tmpl w:val="D48CAE7E"/>
    <w:lvl w:ilvl="0" w:tplc="C194E4B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9FECC7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67AADF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54CEC8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F10BD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ADC926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6A862C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0CE41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E5522FF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8">
    <w:nsid w:val="6E9B0FCC"/>
    <w:multiLevelType w:val="hybridMultilevel"/>
    <w:tmpl w:val="5FA813C6"/>
    <w:lvl w:ilvl="0" w:tplc="0BB0CC8E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F3965AC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BFA5F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404F2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5FA99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880098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6D69A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932098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AFE67D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>
    <w:nsid w:val="70EC69E3"/>
    <w:multiLevelType w:val="hybridMultilevel"/>
    <w:tmpl w:val="E4FC5C14"/>
    <w:lvl w:ilvl="0" w:tplc="D6983B6C">
      <w:start w:val="1"/>
      <w:numFmt w:val="bullet"/>
      <w:lvlText w:val="Ø"/>
      <w:lvlJc w:val="left"/>
      <w:pPr>
        <w:ind w:left="709" w:hanging="360"/>
      </w:pPr>
      <w:rPr>
        <w:rFonts w:ascii="Wingdings" w:eastAsia="Wingdings" w:hAnsi="Wingdings" w:cs="Wingdings"/>
      </w:rPr>
    </w:lvl>
    <w:lvl w:ilvl="1" w:tplc="FC9C7DC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BC02321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682B02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5ACB7C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7C43C6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244CD48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59A8BEE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6F420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0">
    <w:nsid w:val="7FEF3AE4"/>
    <w:multiLevelType w:val="hybridMultilevel"/>
    <w:tmpl w:val="E6FE292C"/>
    <w:lvl w:ilvl="0" w:tplc="E65AD1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329ACE1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6F65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FEFF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AB9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A6A6A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6C67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3A8DA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52A4EF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20"/>
  </w:num>
  <w:num w:numId="9">
    <w:abstractNumId w:val="14"/>
  </w:num>
  <w:num w:numId="10">
    <w:abstractNumId w:val="15"/>
  </w:num>
  <w:num w:numId="11">
    <w:abstractNumId w:val="16"/>
  </w:num>
  <w:num w:numId="12">
    <w:abstractNumId w:val="1"/>
  </w:num>
  <w:num w:numId="13">
    <w:abstractNumId w:val="11"/>
  </w:num>
  <w:num w:numId="14">
    <w:abstractNumId w:val="8"/>
  </w:num>
  <w:num w:numId="15">
    <w:abstractNumId w:val="2"/>
  </w:num>
  <w:num w:numId="16">
    <w:abstractNumId w:val="17"/>
  </w:num>
  <w:num w:numId="17">
    <w:abstractNumId w:val="6"/>
  </w:num>
  <w:num w:numId="18">
    <w:abstractNumId w:val="19"/>
  </w:num>
  <w:num w:numId="19">
    <w:abstractNumId w:val="0"/>
  </w:num>
  <w:num w:numId="20">
    <w:abstractNumId w:val="18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AAB"/>
    <w:rsid w:val="002968E0"/>
    <w:rsid w:val="005A5AAB"/>
    <w:rsid w:val="009E2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tags-news">
    <w:name w:val="tags-news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styleId="afc">
    <w:name w:val="Balloon Text"/>
    <w:basedOn w:val="a"/>
    <w:link w:val="afd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tags-news">
    <w:name w:val="tags-news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1245</Words>
  <Characters>7098</Characters>
  <Application>Microsoft Office Word</Application>
  <DocSecurity>0</DocSecurity>
  <Lines>59</Lines>
  <Paragraphs>16</Paragraphs>
  <ScaleCrop>false</ScaleCrop>
  <Company/>
  <LinksUpToDate>false</LinksUpToDate>
  <CharactersWithSpaces>8327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Леконцева Ксения Равилевна</dc:creator>
  <cp:keywords/>
  <dc:description/>
  <cp:lastModifiedBy>U</cp:lastModifiedBy>
  <cp:revision>52</cp:revision>
  <dcterms:created xsi:type="dcterms:W3CDTF">2024-02-02T09:12:00Z</dcterms:created>
  <dcterms:modified xsi:type="dcterms:W3CDTF">2025-01-23T03:44:00Z</dcterms:modified>
</cp:coreProperties>
</file>