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after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НОВНЫЕ ИЗМЕНЕНИЯ В ТРУДОВОМ ЗАКОНОДАТЕЛЬСТВЕ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0" w:right="0" w:firstLine="567"/>
        <w:jc w:val="center"/>
        <w:spacing w:after="0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 202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5 ГОДУ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bookmarkStart w:id="0" w:name="undefined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Согласие работника на наставничество и отказ от него: разъяснения Роструда.</w:t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Чтобы выполнять функции наставника, работник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должен дать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письменное согласие. Ведомство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указало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, что зафикс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ировать его можно в любой форме. Достаточно, если сотрудник сделает надпись в приказе о поручении наставничества или в предложении такой работы. Он также выражает согласие, когда подписывает трудовой договор либо дополнительное соглашение с условием о наст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авничестве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(п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исьмо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Роструда от 06.05.2025 № ПГ/08518-6-1)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Работник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вправе отказаться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от выполнения функций наставника в любое время. Срока предупреждения об этом в законе нет. Ведомство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считает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, что его можно установить по соглашению сторон (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исьмо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Роструда от 07.05.2025 № ПГ/08577-6-1)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Напомним,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поправки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к ТК РФ о наставничестве 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  <w:t xml:space="preserve">действуют с 1 марта 2025 года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i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С 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 1 сентября 2025 года вступают в силу п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оправки к Трудовому кодексу Российской Федерации, позволяющие работодателям снижать размеры премий работникам с дисциплинарными взысканиями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</w:rPr>
        <w:t xml:space="preserve">Федеральный 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</w:rPr>
        <w:t xml:space="preserve"> от 07.06.2025 № 144-ФЗ)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bCs/>
          <w:i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i/>
          <w:color w:val="auto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Статья 135 ТК РФ дополнена положением, предусматривающим, что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ержащими нормы трудового права, будут определяться виды премий, их размеры, сроки, основания, а также условия их выплаты работникам, в том числе с учетом качества, эффективности и продолжительности работы, наличия или отсутствия дисциплинарного взыскания 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др.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вправе предусмотреть условие о том, что снижение размера премии работнику в связи с применением к н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такого снижения премии н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 может приводить к уменьшению размера месячной заработной платы более чем на 20%.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Таким образом, реализовано Постановление Конституционного Суда от 15.06.2023 № 32-П.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Минтруд России пояснил, что донорские дни положены даже тем, кто сдал кровь на работе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Работник имеет право на дни отдыха и в том случае, если он сдал кровь на территории предприятия в день донора и не отпрашивался с работы. Ведомство уточнило: продолжить трудиться после процедуры можно по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согласованию с руководством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 Тогда донор получит 2 дополнительных оплачиваемых выходных: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один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– за день сдачи крови,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второй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– в любую другую дату по выбору работника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(и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нформация Минтруда России от 09.06.2025 (https://t.me/mintrudrf/2600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)). </w:t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На производстве с вредными или опасными условиями труда продолжать работать в день сдачи крови нельзя.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Минтруд России: выходной для диспансеризации нужно давать и дистанционным работникам.</w:t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Дистанционные работники имеют те же права, что и остальные работники. Это значит, для обследования их тоже нужно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отпускать с работы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с сохранением должности и среднего заработка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(и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нформация Минтруда России от 06.06.2025 (https://t.me/mintrudrf/2585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).</w:t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Подобные разъяснения уже давал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Роструд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 Он также уточнял, что гарантией могут воспользоваться дистанционные работники с неполным рабочим днем.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2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</w:r>
      <w:hyperlink r:id="rId10" w:tooltip="https://login.consultant.ru/link/?req=doc&amp;base=LAW&amp;n=491199&amp;dst=100046&amp;demo=1" w:history="1">
        <w:r>
          <w:rPr>
            <w:rStyle w:val="850"/>
            <w:rFonts w:ascii="PT Astra Serif" w:hAnsi="PT Astra Serif" w:eastAsia="PT Astra Serif" w:cs="PT Astra Serif"/>
            <w:b/>
            <w:bCs/>
            <w:i/>
            <w:iCs/>
            <w:color w:val="auto"/>
            <w:sz w:val="28"/>
            <w:szCs w:val="28"/>
            <w:u w:val="none"/>
          </w:rPr>
          <w:t xml:space="preserve">Постановление КС РФ от 22.11.2024 № 54-П</w:t>
        </w:r>
      </w:hyperlink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u w:val="none"/>
        </w:rPr>
        <w:t xml:space="preserve">: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 выплаты при сокращении с основного места положены даже тем, кто работает по совместительству</w:t>
      </w:r>
      <w:r>
        <w:rPr>
          <w:rFonts w:ascii="PT Astra Serif" w:hAnsi="PT Astra Serif" w:eastAsia="PT Astra Serif" w:cs="PT Astra Serif"/>
          <w:b/>
          <w:i/>
          <w:iCs/>
          <w:color w:val="auto"/>
          <w:sz w:val="28"/>
          <w:szCs w:val="28"/>
        </w:rPr>
        <w:t xml:space="preserve">.</w:t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  <w:r>
        <w:rPr>
          <w:rFonts w:ascii="PT Astra Serif" w:hAnsi="PT Astra Serif" w:cs="PT Astra Serif"/>
          <w:i/>
          <w:iCs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Специалиста сократили с основной работы из организации, которая располагалась в местности, приравненной к районам Крайнего Севера. Суды отказались взыскать среднюю зарплату за период трудоустройства, так как он был устроен по совместительству на другом пре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дприятии.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КС РФ </w:t>
      </w:r>
      <w:hyperlink r:id="rId11" w:tooltip="https://login.consultant.ru/link/?req=doc&amp;base=LAW&amp;n=491199&amp;dst=100046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указал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– нельз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я только из-за того, что у сотрудника есть работа по совместительству, лишать его выплат на основном месте работы при сокращении или ликвидации организации. Гарантия должна обеспечивать материальную поддержку всем работникам, которых уволили по этим основа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ниям.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Дело в том, что работа по совместительству </w:t>
      </w:r>
      <w:hyperlink r:id="rId12" w:tooltip="https://login.consultant.ru/link/?req=doc&amp;base=LAW&amp;n=491199&amp;dst=100030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 становится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основной автоматически, без соглашения сторон. Она не исключает того, что специалисту нужно искать новое основное место из-за утраты части дохода. Этот процесс может занять время, в течение которого пособие по безработице не платят. Такой работник нуждает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ся в материальной поддержке, ему </w:t>
      </w:r>
      <w:hyperlink r:id="rId13" w:tooltip="https://login.consultant.ru/link/?req=doc&amp;base=LAW&amp;n=491199&amp;dst=100040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положены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гарантии в виде выплаты среднего заработка за период трудоустройства.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83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Ранее суды </w:t>
      </w:r>
      <w:hyperlink r:id="rId14" w:tooltip="https://login.consultant.ru/link/?req=doc&amp;base=LAW&amp;n=491199&amp;dst=100036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решали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этот вопрос по-разному. Совместители оказывались в н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еравном положении.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83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83" w:lineRule="atLeast"/>
        <w:rPr>
          <w:rFonts w:ascii="PT Astra Serif" w:hAnsi="PT Astra Serif" w:cs="PT Astra Serif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Новый общероссийский классификатор профессий и должностей заработает с 1 января 2026 года. </w:t>
      </w:r>
      <w:r>
        <w:rPr>
          <w:rFonts w:ascii="PT Astra Serif" w:hAnsi="PT Astra Serif" w:cs="PT Astra Serif"/>
          <w:b/>
          <w:bCs/>
          <w:i/>
          <w:sz w:val="28"/>
          <w:szCs w:val="28"/>
        </w:rPr>
      </w:r>
      <w:r>
        <w:rPr>
          <w:rFonts w:ascii="PT Astra Serif" w:hAnsi="PT Astra Serif" w:cs="PT Astra Serif"/>
          <w:b/>
          <w:bCs/>
          <w:i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Взамен классификатора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ОК 016-94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который действует почти 30 лет, приняли новый -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ОК 016-2025 </w:t>
      </w:r>
      <w:r>
        <w:rPr>
          <w:rFonts w:ascii="PT Astra Serif" w:hAnsi="PT Astra Serif" w:eastAsia="PT Astra Serif" w:cs="PT Astra Serif"/>
          <w:i w:val="0"/>
          <w:iCs w:val="0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i w:val="0"/>
          <w:iCs w:val="0"/>
          <w:color w:val="000000"/>
          <w:sz w:val="28"/>
          <w:szCs w:val="28"/>
        </w:rPr>
        <w:t xml:space="preserve">бщероссийский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классификатор</w:t>
      </w:r>
      <w:r>
        <w:rPr>
          <w:rFonts w:ascii="PT Astra Serif" w:hAnsi="PT Astra Serif" w:eastAsia="PT Astra Serif" w:cs="PT Astra Serif"/>
          <w:i w:val="0"/>
          <w:iCs w:val="0"/>
          <w:color w:val="000000"/>
          <w:sz w:val="28"/>
          <w:szCs w:val="28"/>
        </w:rPr>
        <w:t xml:space="preserve"> профессий рабочих, должностей служащих и тарифных разрядов (принят и введен в действие Приказом Росстандарта от 16.05.2025 № 423-ст)</w:t>
      </w:r>
      <w:r>
        <w:rPr>
          <w:rFonts w:ascii="PT Astra Serif" w:hAnsi="PT Astra Serif" w:eastAsia="PT Astra Serif" w:cs="PT Astra Serif"/>
          <w:i w:val="0"/>
          <w:iCs w:val="0"/>
          <w:color w:val="000000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Он также состоит из 2 разделов: профессии рабочих и должности служащих.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 помощью классификатора решают в том числе задачи, которые связаны с оценкой численности рабочих и служащих, учетом состава и распределением кадров по категориям персонала, уровню квалификации.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Классификатор среди прочего используют: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 администрировании трудовых отношений;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идентификации профессий и должностей, в частности, при ведении статистического учета;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формировании информресурсов, на которых представлены наименования профессий и должностей;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решении вопросов миграции рабочей силы и определения профессионального состава рабочих мест.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0" w:after="0" w:line="288" w:lineRule="atLeast"/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С  1 марта 2026 года вступают в силу новые предельные нормы подъема и перемещения тяжестей несовершеннолетними работниками</w:t>
      </w:r>
      <w:r>
        <w:rPr>
          <w:rFonts w:ascii="PT Astra Serif" w:hAnsi="PT Astra Serif" w:eastAsia="PT Astra Serif" w:cs="PT Astra Serif"/>
          <w:b/>
          <w:i/>
          <w:iCs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Минтруд России утвердил новые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предельные нормы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допустимой массы груза для работников до 18 лет. Документ содержит ограничения, аналогичные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действующим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u w:val="none"/>
        </w:rPr>
        <w:t xml:space="preserve">(п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риказ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Минтруда России от 10.06.2025 № 369н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). </w:t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Так, постоянно в течение рабочей смены юноши 14 и 15 лет смогут вручную </w:t>
      </w:r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поднимать и перемещать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груз весом максимум 3 кг, 16 и 17 лет - 4 кг. Для девушек эти нормы на 1 кг ниже.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Ограничения установлены с учетом массы тары и упаковки.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Утратит силу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с 1 марта 2026 года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аналогичное постановление Министерства труда и социального развития Российской Федерации от 07.04.1999 № 7.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000000"/>
          <w:sz w:val="28"/>
          <w:szCs w:val="28"/>
        </w:rPr>
        <w:t xml:space="preserve">Безопасность труда в жару: Роспотребнадзор дал рекомендации работодателям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ледует следить за температурой воздуха в помещении, где работают сотрудники. С помощью кондиционера ее нужно поддерживать на уровне 24 - 25 °C. Если устройства охлаждения воздуха нет, рабочий день советуют сокращать: когда отметка на термометре достигнет 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8,5 °C - на час, 29 °C - на 2 ч, 30,5 °C - на 4 часа.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улице при жаре свыше 32,5 °C проводить работы опасно. Их лучше перенести на утро или вечер. Если это невозможно, рекомендуют: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после каждых 15 - 20 мин. работы давать сотрудникам перерыв не менее 10 - 12 мин. для отдыха в охлажденных помещениях;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следить, чтобы работники не были на жаре дольше 5 часов за смену в спецодежде для защиты от теплового излучения и дольше 2 часов без нее;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не допускать к труду лиц младше 25 и старше 40 лет.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ужно обеспечить доступ сотрудников к достаточному количеству питьевой воды. Ее и другие жидкости следует охлаждать до 10 - 15 °C. Советуют также выдавать подсоленную или минеральную щелочную воду, кисломолочные и витаминизированные напитки, соки, кислородн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о-белковые коктейли.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 температуре выше 30 °C на работах средней тяжести сотрудникам нужно выпивать не менее 0,5 л воды в час, т.е. примерно 1 чашку каждые 20 мин.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Информация Роспотребнадзора от 10.07.2025: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https://www.rospotrebnadzor.ru/about/info/news/news_details.php?ELEMENT_ID=30372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92"/>
        <w:contextualSpacing/>
        <w:ind w:left="0" w:right="0" w:firstLine="567"/>
        <w:jc w:val="center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u w:val="none"/>
        </w:rPr>
        <w:t xml:space="preserve">ОХРАНА ТРУДА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u w:val="none"/>
        </w:rPr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u w:val="none"/>
        </w:rPr>
      </w:r>
    </w:p>
    <w:p>
      <w:pPr>
        <w:pStyle w:val="692"/>
        <w:contextualSpacing/>
        <w:ind w:left="0" w:right="0" w:firstLine="567"/>
        <w:jc w:val="center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 w:val="0"/>
          <w:i w:val="0"/>
          <w:color w:val="auto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highlight w:val="none"/>
          <w:u w:val="single"/>
        </w:rPr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highlight w:val="none"/>
          <w:u w:val="single"/>
        </w:rPr>
      </w:r>
      <w:r>
        <w:rPr>
          <w:rFonts w:ascii="PT Astra Serif" w:hAnsi="PT Astra Serif" w:eastAsia="PT Astra Serif" w:cs="PT Astra Serif"/>
          <w:b/>
          <w:bCs w:val="0"/>
          <w:i w:val="0"/>
          <w:color w:val="auto"/>
          <w:sz w:val="28"/>
          <w:szCs w:val="28"/>
          <w:u w:val="none"/>
        </w:rPr>
      </w:r>
    </w:p>
    <w:p>
      <w:pPr>
        <w:pStyle w:val="692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i/>
          <w:color w:val="auto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u w:val="single"/>
        </w:rPr>
        <w:t xml:space="preserve">Интересные ответы онлайн-инспекции за апрель – май 2025 года</w:t>
      </w:r>
      <w:r>
        <w:rPr>
          <w:rFonts w:ascii="PT Astra Serif" w:hAnsi="PT Astra Serif" w:eastAsia="PT Astra Serif" w:cs="PT Astra Serif"/>
          <w:b/>
          <w:bCs/>
          <w:i/>
          <w:iCs/>
          <w:color w:val="auto"/>
          <w:sz w:val="28"/>
          <w:szCs w:val="28"/>
          <w:u w:val="single"/>
        </w:rPr>
        <w:t xml:space="preserve">:</w:t>
      </w:r>
      <w:r>
        <w:rPr>
          <w:rFonts w:ascii="PT Astra Serif" w:hAnsi="PT Astra Serif" w:eastAsia="PT Astra Serif" w:cs="PT Astra Serif"/>
          <w:b/>
          <w:bCs/>
          <w:i/>
          <w:color w:val="auto"/>
          <w:sz w:val="28"/>
          <w:szCs w:val="28"/>
          <w:highlight w:val="none"/>
          <w:u w:val="single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Если СИЗ в идеальном состоянии, можно ли продлить срок их использования?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hyperlink r:id="rId15" w:tooltip="https://login.consultant.ru/link/?req=doc&amp;base=PBI&amp;n=346926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Нельзя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, поскольку в </w:t>
      </w:r>
      <w:hyperlink r:id="rId16" w:tooltip="https://login.consultant.ru/link/?req=doc&amp;base=LAW&amp;n=405210&amp;dst=100017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правилах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не предусмотрена возможности продления сроков эксплуатации СИЗ.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Можно ли обучение по охране труда для работ с повышенной опасностью провести после стажировки?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hyperlink r:id="rId17" w:tooltip="https://login.consultant.ru/link/?req=doc&amp;base=PBI&amp;n=346821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Нет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, обучение по охране труда проводят до стажировки.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Нужно ли принять заключение, если работник при приеме прошел медосмотр в сторонней организации?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Без направления работник вправе пройти врача в любой организации, однако в таком случае принимать у него медзаключение </w:t>
      </w:r>
      <w:hyperlink r:id="rId18" w:tooltip="https://login.consultant.ru/link/?req=doc&amp;base=PBI&amp;n=347048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необязательно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 Работодатель сам определяет место для медосмотра.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Входит ли период обучения по охране труда в рабочее время?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Мероприятие обычно </w:t>
      </w:r>
      <w:hyperlink r:id="rId19" w:tooltip="https://login.consultant.ru/link/?req=doc&amp;base=PBI&amp;n=346823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проводят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в рабочее время. Его относят к профобучению и отмечают в табеле, например, кодом </w:t>
      </w:r>
      <w:hyperlink r:id="rId20" w:tooltip="https://login.consultant.ru/link/?req=doc&amp;base=LAW&amp;n=47274&amp;dst=100305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«ПК» («07»)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Нужно ли при переводе работника на другой объект проводить первичный инструктаж на рабочем месте?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hyperlink r:id="rId21" w:tooltip="https://login.consultant.ru/link/?req=doc&amp;base=PBI&amp;n=346853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Нет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,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если сохраняются условия труда, а также идентифицированные источники опасности.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Как часто нужно обновлять приказ о денежной компенсации взамен молока?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Такой приказ </w:t>
      </w:r>
      <w:hyperlink r:id="rId22" w:tooltip="https://login.consultant.ru/link/?req=doc&amp;base=PBI&amp;n=346692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может действовать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до того момента, пока кто-то из работников не откажется от замены молока. Обязанность издавать приказ ежемесячно законом не установлена.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694"/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</w:rPr>
        <w:t xml:space="preserve">Можно ли перевести работника, которому из-за инвалидности трудно работать во вредных условиях?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Если работа во вредных условиях не запрещена по медзаключению и индивидуальной программе реабилитации, то организация </w:t>
      </w:r>
      <w:hyperlink r:id="rId23" w:tooltip="https://login.consultant.ru/link/?req=doc&amp;base=PBI&amp;n=346615&amp;dst=100003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не вправе предлагать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работнику </w:t>
      </w:r>
      <w:hyperlink r:id="rId24" w:tooltip="https://login.consultant.ru/link/?req=doc&amp;base=LAW&amp;n=502632&amp;dst=452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перевод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  <w:u w:val="none"/>
        </w:rPr>
        <w:t xml:space="preserve">.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Нельзя также </w:t>
      </w:r>
      <w:hyperlink r:id="rId25" w:tooltip="https://login.consultant.ru/link/?req=doc&amp;base=LAW&amp;n=502632&amp;dst=484&amp;demo=1" w:history="1">
        <w:r>
          <w:rPr>
            <w:rStyle w:val="850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уволить</w:t>
        </w:r>
      </w:hyperlink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в случае отказа от него.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168" w:after="0" w:line="283" w:lineRule="atLeast"/>
        <w:rPr>
          <w:b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b/>
          <w:bCs/>
          <w:i/>
          <w:iCs/>
          <w:sz w:val="28"/>
          <w:szCs w:val="28"/>
        </w:rPr>
        <w:t xml:space="preserve">Действия работодателя, если специальная оценка условий труда (СОУТ) проведена пять лет назад и класс условий труда на рабочих местах допустимый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Если по результатам СОУТ на рабочих местах установили допустимый класс условий труда и данные рабочие места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подлежат декларированию</w:t>
      </w:r>
      <w:r>
        <w:rPr>
          <w:rFonts w:ascii="PT Astra Serif" w:hAnsi="PT Astra Serif" w:cs="PT Astra Serif"/>
          <w:sz w:val="28"/>
          <w:szCs w:val="28"/>
        </w:rPr>
        <w:t xml:space="preserve">, то проводить специальную оценку условий труда раз в пять лет не требуется (ч. 4 ст. 8 Закона № 426-ФЗ).</w:t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Внеплановую СОУТ на декларируемых рабочих местах необходимо провести, если (ч. 5 ст. 11 Закона № 426-ФЗ):</w:t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с работником произошел несчастный случай или выявлено профзаболевание;</w:t>
      </w:r>
      <w:r/>
    </w:p>
    <w:p>
      <w:pPr>
        <w:contextualSpacing/>
        <w:ind w:left="0" w:right="0" w:firstLine="567"/>
        <w:jc w:val="both"/>
        <w:spacing w:before="168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проверяющий орган выявил нарушения требований охраны руда.</w:t>
      </w:r>
      <w:r/>
    </w:p>
    <w:p>
      <w:pPr>
        <w:contextualSpacing/>
        <w:ind w:left="0" w:right="0" w:firstLine="567"/>
        <w:jc w:val="both"/>
        <w:spacing w:before="168" w:after="0" w:line="283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Если же рабочие места не подлежат декларированию, например учителя и медицинские работники, то СОУТ необходимо проводить раз в пять лет (ч. 1 ст. 11 Закона № 426-ФЗ).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91199&amp;dst=100046&amp;demo=1" TargetMode="External"/><Relationship Id="rId11" Type="http://schemas.openxmlformats.org/officeDocument/2006/relationships/hyperlink" Target="https://login.consultant.ru/link/?req=doc&amp;base=LAW&amp;n=491199&amp;dst=100046&amp;demo=1" TargetMode="External"/><Relationship Id="rId12" Type="http://schemas.openxmlformats.org/officeDocument/2006/relationships/hyperlink" Target="https://login.consultant.ru/link/?req=doc&amp;base=LAW&amp;n=491199&amp;dst=100030&amp;demo=1" TargetMode="External"/><Relationship Id="rId13" Type="http://schemas.openxmlformats.org/officeDocument/2006/relationships/hyperlink" Target="https://login.consultant.ru/link/?req=doc&amp;base=LAW&amp;n=491199&amp;dst=100040&amp;demo=1" TargetMode="External"/><Relationship Id="rId14" Type="http://schemas.openxmlformats.org/officeDocument/2006/relationships/hyperlink" Target="https://login.consultant.ru/link/?req=doc&amp;base=LAW&amp;n=491199&amp;dst=100036&amp;demo=1" TargetMode="External"/><Relationship Id="rId15" Type="http://schemas.openxmlformats.org/officeDocument/2006/relationships/hyperlink" Target="https://login.consultant.ru/link/?req=doc&amp;base=PBI&amp;n=346926&amp;dst=100003&amp;demo=1" TargetMode="External"/><Relationship Id="rId16" Type="http://schemas.openxmlformats.org/officeDocument/2006/relationships/hyperlink" Target="https://login.consultant.ru/link/?req=doc&amp;base=LAW&amp;n=405210&amp;dst=100017&amp;demo=1" TargetMode="External"/><Relationship Id="rId17" Type="http://schemas.openxmlformats.org/officeDocument/2006/relationships/hyperlink" Target="https://login.consultant.ru/link/?req=doc&amp;base=PBI&amp;n=346821&amp;dst=100003&amp;demo=1" TargetMode="External"/><Relationship Id="rId18" Type="http://schemas.openxmlformats.org/officeDocument/2006/relationships/hyperlink" Target="https://login.consultant.ru/link/?req=doc&amp;base=PBI&amp;n=347048&amp;dst=100003&amp;demo=1" TargetMode="External"/><Relationship Id="rId19" Type="http://schemas.openxmlformats.org/officeDocument/2006/relationships/hyperlink" Target="https://login.consultant.ru/link/?req=doc&amp;base=PBI&amp;n=346823&amp;dst=100003&amp;demo=1" TargetMode="External"/><Relationship Id="rId20" Type="http://schemas.openxmlformats.org/officeDocument/2006/relationships/hyperlink" Target="https://login.consultant.ru/link/?req=doc&amp;base=LAW&amp;n=47274&amp;dst=100305&amp;demo=1" TargetMode="External"/><Relationship Id="rId21" Type="http://schemas.openxmlformats.org/officeDocument/2006/relationships/hyperlink" Target="https://login.consultant.ru/link/?req=doc&amp;base=PBI&amp;n=346853&amp;dst=100003&amp;demo=1" TargetMode="External"/><Relationship Id="rId22" Type="http://schemas.openxmlformats.org/officeDocument/2006/relationships/hyperlink" Target="https://login.consultant.ru/link/?req=doc&amp;base=PBI&amp;n=346692&amp;dst=100003&amp;demo=1" TargetMode="External"/><Relationship Id="rId23" Type="http://schemas.openxmlformats.org/officeDocument/2006/relationships/hyperlink" Target="https://login.consultant.ru/link/?req=doc&amp;base=PBI&amp;n=346615&amp;dst=100003&amp;demo=1" TargetMode="External"/><Relationship Id="rId24" Type="http://schemas.openxmlformats.org/officeDocument/2006/relationships/hyperlink" Target="https://login.consultant.ru/link/?req=doc&amp;base=LAW&amp;n=502632&amp;dst=452&amp;demo=1" TargetMode="External"/><Relationship Id="rId25" Type="http://schemas.openxmlformats.org/officeDocument/2006/relationships/hyperlink" Target="https://login.consultant.ru/link/?req=doc&amp;base=LAW&amp;n=502632&amp;dst=484&amp;demo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Липина Александра</cp:lastModifiedBy>
  <cp:revision>18</cp:revision>
  <dcterms:modified xsi:type="dcterms:W3CDTF">2025-07-17T11:39:08Z</dcterms:modified>
</cp:coreProperties>
</file>