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CF8" w:rsidRPr="00645CF8" w:rsidRDefault="00645CF8" w:rsidP="00645CF8">
      <w:pPr>
        <w:suppressAutoHyphens/>
        <w:jc w:val="center"/>
        <w:rPr>
          <w:rFonts w:ascii="Times New Roman" w:eastAsia="Calibri" w:hAnsi="Times New Roman" w:cs="Times New Roman"/>
          <w:color w:val="auto"/>
          <w:lang w:eastAsia="ar-SA"/>
        </w:rPr>
      </w:pPr>
      <w:bookmarkStart w:id="0" w:name="_GoBack"/>
      <w:bookmarkEnd w:id="0"/>
      <w:r w:rsidRPr="00645CF8">
        <w:rPr>
          <w:rFonts w:ascii="Times New Roman" w:eastAsia="Calibri" w:hAnsi="Times New Roman" w:cs="Times New Roman"/>
          <w:color w:val="auto"/>
          <w:lang w:eastAsia="ar-SA"/>
        </w:rPr>
        <w:t xml:space="preserve">                                                                                У Т В Е Р Ж Д Е Н О</w:t>
      </w:r>
    </w:p>
    <w:p w:rsidR="00645CF8" w:rsidRPr="00645CF8" w:rsidRDefault="00645CF8" w:rsidP="00645CF8">
      <w:pPr>
        <w:suppressAutoHyphens/>
        <w:jc w:val="right"/>
        <w:rPr>
          <w:rFonts w:ascii="Times New Roman" w:eastAsia="Calibri" w:hAnsi="Times New Roman" w:cs="Times New Roman"/>
          <w:color w:val="auto"/>
          <w:lang w:eastAsia="ar-SA"/>
        </w:rPr>
      </w:pPr>
      <w:r w:rsidRPr="00645CF8">
        <w:rPr>
          <w:rFonts w:ascii="Times New Roman" w:eastAsia="Calibri" w:hAnsi="Times New Roman" w:cs="Times New Roman"/>
          <w:color w:val="auto"/>
          <w:lang w:eastAsia="ar-SA"/>
        </w:rPr>
        <w:t>Решением Совета депутатов муниципального</w:t>
      </w:r>
    </w:p>
    <w:p w:rsidR="00645CF8" w:rsidRPr="00645CF8" w:rsidRDefault="00645CF8" w:rsidP="00645CF8">
      <w:pPr>
        <w:suppressAutoHyphens/>
        <w:jc w:val="right"/>
        <w:rPr>
          <w:rFonts w:ascii="Times New Roman" w:eastAsia="Calibri" w:hAnsi="Times New Roman" w:cs="Times New Roman"/>
          <w:color w:val="auto"/>
          <w:lang w:eastAsia="ar-SA"/>
        </w:rPr>
      </w:pPr>
      <w:r w:rsidRPr="00645CF8">
        <w:rPr>
          <w:rFonts w:ascii="Times New Roman" w:eastAsia="Calibri" w:hAnsi="Times New Roman" w:cs="Times New Roman"/>
          <w:color w:val="auto"/>
          <w:lang w:eastAsia="ar-SA"/>
        </w:rPr>
        <w:t xml:space="preserve">образования </w:t>
      </w:r>
      <w:r w:rsidRPr="00523437">
        <w:rPr>
          <w:rFonts w:ascii="Times New Roman" w:eastAsia="Calibri" w:hAnsi="Times New Roman" w:cs="Times New Roman"/>
          <w:color w:val="auto"/>
          <w:lang w:eastAsia="ar-SA"/>
        </w:rPr>
        <w:t>«</w:t>
      </w:r>
      <w:r w:rsidR="0066584E" w:rsidRPr="00523437">
        <w:rPr>
          <w:rFonts w:ascii="Times New Roman" w:eastAsia="Calibri" w:hAnsi="Times New Roman" w:cs="Times New Roman"/>
          <w:color w:val="auto"/>
          <w:lang w:eastAsia="ar-SA"/>
        </w:rPr>
        <w:t>Пыбьинское</w:t>
      </w:r>
      <w:r w:rsidRPr="00523437">
        <w:rPr>
          <w:rFonts w:ascii="Times New Roman" w:eastAsia="Calibri" w:hAnsi="Times New Roman" w:cs="Times New Roman"/>
          <w:color w:val="auto"/>
          <w:lang w:eastAsia="ar-SA"/>
        </w:rPr>
        <w:t>»</w:t>
      </w:r>
      <w:r w:rsidRPr="00645CF8">
        <w:rPr>
          <w:rFonts w:ascii="Times New Roman" w:eastAsia="Calibri" w:hAnsi="Times New Roman" w:cs="Times New Roman"/>
          <w:color w:val="auto"/>
          <w:lang w:eastAsia="ar-SA"/>
        </w:rPr>
        <w:t xml:space="preserve"> от  </w:t>
      </w:r>
      <w:r w:rsidR="00E75CF4">
        <w:rPr>
          <w:rFonts w:ascii="Times New Roman" w:eastAsia="Calibri" w:hAnsi="Times New Roman" w:cs="Times New Roman"/>
          <w:color w:val="auto"/>
          <w:lang w:eastAsia="ar-SA"/>
        </w:rPr>
        <w:t>2</w:t>
      </w:r>
      <w:r w:rsidR="00523437">
        <w:rPr>
          <w:rFonts w:ascii="Times New Roman" w:eastAsia="Calibri" w:hAnsi="Times New Roman" w:cs="Times New Roman"/>
          <w:color w:val="auto"/>
          <w:lang w:eastAsia="ar-SA"/>
        </w:rPr>
        <w:t>8</w:t>
      </w:r>
      <w:r w:rsidR="00E75CF4">
        <w:rPr>
          <w:rFonts w:ascii="Times New Roman" w:eastAsia="Calibri" w:hAnsi="Times New Roman" w:cs="Times New Roman"/>
          <w:color w:val="auto"/>
          <w:lang w:eastAsia="ar-SA"/>
        </w:rPr>
        <w:t>.11.</w:t>
      </w:r>
      <w:r w:rsidRPr="00645CF8">
        <w:rPr>
          <w:rFonts w:ascii="Times New Roman" w:eastAsia="Calibri" w:hAnsi="Times New Roman" w:cs="Times New Roman"/>
          <w:color w:val="auto"/>
          <w:lang w:eastAsia="ar-SA"/>
        </w:rPr>
        <w:t xml:space="preserve"> 2017</w:t>
      </w:r>
      <w:r w:rsidR="00E75CF4">
        <w:rPr>
          <w:rFonts w:ascii="Times New Roman" w:eastAsia="Calibri" w:hAnsi="Times New Roman" w:cs="Times New Roman"/>
          <w:color w:val="auto"/>
          <w:lang w:eastAsia="ar-SA"/>
        </w:rPr>
        <w:t xml:space="preserve"> </w:t>
      </w:r>
      <w:r w:rsidRPr="00645CF8">
        <w:rPr>
          <w:rFonts w:ascii="Times New Roman" w:eastAsia="Calibri" w:hAnsi="Times New Roman" w:cs="Times New Roman"/>
          <w:color w:val="auto"/>
          <w:lang w:eastAsia="ar-SA"/>
        </w:rPr>
        <w:t>г.</w:t>
      </w:r>
      <w:r w:rsidR="00E75CF4">
        <w:rPr>
          <w:rFonts w:ascii="Times New Roman" w:eastAsia="Calibri" w:hAnsi="Times New Roman" w:cs="Times New Roman"/>
          <w:color w:val="auto"/>
          <w:lang w:eastAsia="ar-SA"/>
        </w:rPr>
        <w:t xml:space="preserve"> </w:t>
      </w:r>
      <w:r w:rsidRPr="00645CF8">
        <w:rPr>
          <w:rFonts w:ascii="Times New Roman" w:eastAsia="Calibri" w:hAnsi="Times New Roman" w:cs="Times New Roman"/>
          <w:color w:val="auto"/>
          <w:lang w:eastAsia="ar-SA"/>
        </w:rPr>
        <w:t xml:space="preserve">№ </w:t>
      </w:r>
      <w:r w:rsidR="00E75CF4">
        <w:rPr>
          <w:rFonts w:ascii="Times New Roman" w:eastAsia="Calibri" w:hAnsi="Times New Roman" w:cs="Times New Roman"/>
          <w:color w:val="auto"/>
          <w:lang w:eastAsia="ar-SA"/>
        </w:rPr>
        <w:t>14-1</w:t>
      </w:r>
      <w:r w:rsidRPr="00645CF8">
        <w:rPr>
          <w:rFonts w:ascii="Times New Roman" w:eastAsia="Calibri" w:hAnsi="Times New Roman" w:cs="Times New Roman"/>
          <w:color w:val="auto"/>
          <w:lang w:eastAsia="ar-SA"/>
        </w:rPr>
        <w:t xml:space="preserve">  </w:t>
      </w:r>
    </w:p>
    <w:p w:rsidR="001A08B7" w:rsidRDefault="001A08B7">
      <w:pPr>
        <w:pStyle w:val="4"/>
        <w:shd w:val="clear" w:color="auto" w:fill="auto"/>
        <w:tabs>
          <w:tab w:val="left" w:pos="7537"/>
        </w:tabs>
        <w:ind w:left="5180" w:firstLine="1880"/>
      </w:pPr>
    </w:p>
    <w:p w:rsidR="001A08B7" w:rsidRDefault="00F659E6" w:rsidP="00645CF8">
      <w:pPr>
        <w:pStyle w:val="20"/>
        <w:shd w:val="clear" w:color="auto" w:fill="auto"/>
        <w:spacing w:before="0" w:after="8559"/>
        <w:sectPr w:rsidR="001A08B7">
          <w:type w:val="continuous"/>
          <w:pgSz w:w="11905" w:h="16837"/>
          <w:pgMar w:top="1464" w:right="569" w:bottom="1958" w:left="2614" w:header="0" w:footer="3" w:gutter="0"/>
          <w:cols w:space="720"/>
          <w:noEndnote/>
          <w:docGrid w:linePitch="360"/>
        </w:sectPr>
      </w:pPr>
      <w:r>
        <w:t xml:space="preserve">НОРМАТИВЫ ГРАДОСТРОИТЕЛЬНОГО ПРОЕКТИРОВАНИЯ </w:t>
      </w:r>
      <w:r w:rsidR="00645CF8">
        <w:t xml:space="preserve">                                      МО </w:t>
      </w:r>
      <w:r w:rsidR="00645CF8" w:rsidRPr="00523437">
        <w:t>«</w:t>
      </w:r>
      <w:r w:rsidR="0066584E" w:rsidRPr="00523437">
        <w:t>ПЫБЬИНСКОЕ</w:t>
      </w:r>
      <w:r w:rsidR="00A73F5E" w:rsidRPr="00523437">
        <w:t>»</w:t>
      </w:r>
      <w:r w:rsidR="00645CF8">
        <w:t xml:space="preserve"> БАЛЕЗИНСКИЙ РАЙОН</w:t>
      </w:r>
    </w:p>
    <w:p w:rsidR="00645CF8" w:rsidRDefault="00645CF8">
      <w:pPr>
        <w:pStyle w:val="20"/>
        <w:shd w:val="clear" w:color="auto" w:fill="auto"/>
        <w:spacing w:before="0" w:after="293" w:line="230" w:lineRule="exact"/>
        <w:ind w:left="4180"/>
        <w:jc w:val="left"/>
      </w:pPr>
    </w:p>
    <w:p w:rsidR="001A08B7" w:rsidRDefault="00F659E6">
      <w:pPr>
        <w:pStyle w:val="20"/>
        <w:shd w:val="clear" w:color="auto" w:fill="auto"/>
        <w:spacing w:before="0" w:after="293" w:line="230" w:lineRule="exact"/>
        <w:ind w:left="4180"/>
        <w:jc w:val="left"/>
      </w:pPr>
      <w:r>
        <w:lastRenderedPageBreak/>
        <w:t>СОДЕРЖАНИЕ:</w:t>
      </w:r>
    </w:p>
    <w:p w:rsidR="001A08B7" w:rsidRDefault="00F659E6">
      <w:pPr>
        <w:pStyle w:val="4"/>
        <w:numPr>
          <w:ilvl w:val="0"/>
          <w:numId w:val="1"/>
        </w:numPr>
        <w:shd w:val="clear" w:color="auto" w:fill="auto"/>
        <w:tabs>
          <w:tab w:val="left" w:pos="183"/>
          <w:tab w:val="left" w:leader="dot" w:pos="9034"/>
        </w:tabs>
        <w:spacing w:after="521" w:line="230" w:lineRule="exact"/>
        <w:ind w:left="20"/>
      </w:pPr>
      <w:r>
        <w:t>ОСНОВНАЯ ЧАСТЬ</w:t>
      </w:r>
      <w:r>
        <w:tab/>
      </w:r>
    </w:p>
    <w:p w:rsidR="001A08B7" w:rsidRDefault="00F659E6">
      <w:pPr>
        <w:pStyle w:val="4"/>
        <w:numPr>
          <w:ilvl w:val="0"/>
          <w:numId w:val="1"/>
        </w:numPr>
        <w:shd w:val="clear" w:color="auto" w:fill="auto"/>
        <w:tabs>
          <w:tab w:val="left" w:pos="198"/>
          <w:tab w:val="left" w:leader="dot" w:pos="8958"/>
        </w:tabs>
        <w:spacing w:after="0" w:line="230" w:lineRule="exact"/>
        <w:ind w:left="20"/>
        <w:sectPr w:rsidR="001A08B7">
          <w:type w:val="continuous"/>
          <w:pgSz w:w="11905" w:h="16837"/>
          <w:pgMar w:top="1742" w:right="1131" w:bottom="13118" w:left="1131" w:header="0" w:footer="3" w:gutter="0"/>
          <w:cols w:space="720"/>
          <w:noEndnote/>
          <w:docGrid w:linePitch="360"/>
        </w:sectPr>
      </w:pPr>
      <w:r>
        <w:t>ПРАВИЛА И ОБЛАСТЬ ПРИМЕНЕНИЯ РАСЧЕТНЫХ ПОКАЗАТЕЛЕЙ</w:t>
      </w:r>
      <w:r>
        <w:tab/>
      </w:r>
    </w:p>
    <w:p w:rsidR="001A08B7" w:rsidRDefault="00F659E6" w:rsidP="00A73F5E">
      <w:pPr>
        <w:pStyle w:val="10"/>
        <w:keepNext/>
        <w:keepLines/>
        <w:shd w:val="clear" w:color="auto" w:fill="auto"/>
        <w:spacing w:line="230" w:lineRule="exact"/>
        <w:ind w:left="480"/>
        <w:jc w:val="center"/>
      </w:pPr>
      <w:bookmarkStart w:id="1" w:name="bookmark0"/>
      <w:r>
        <w:lastRenderedPageBreak/>
        <w:t>НОРМАТИВЫ ГРАДОСТРОИТЕЛЬНОГО ПРОЕКТИРОВАНИЯ</w:t>
      </w:r>
      <w:bookmarkEnd w:id="1"/>
      <w:r w:rsidR="00A73F5E">
        <w:t>.</w:t>
      </w:r>
    </w:p>
    <w:p w:rsidR="00A73F5E" w:rsidRPr="00A73F5E" w:rsidRDefault="00A73F5E" w:rsidP="00A73F5E">
      <w:pPr>
        <w:pStyle w:val="10"/>
        <w:keepNext/>
        <w:keepLines/>
        <w:shd w:val="clear" w:color="auto" w:fill="auto"/>
        <w:spacing w:line="230" w:lineRule="exact"/>
        <w:ind w:left="480"/>
        <w:jc w:val="center"/>
      </w:pPr>
    </w:p>
    <w:p w:rsidR="001A08B7" w:rsidRDefault="00F659E6">
      <w:pPr>
        <w:pStyle w:val="10"/>
        <w:keepNext/>
        <w:keepLines/>
        <w:shd w:val="clear" w:color="auto" w:fill="auto"/>
        <w:spacing w:after="435" w:line="270" w:lineRule="exact"/>
        <w:ind w:left="4140"/>
      </w:pPr>
      <w:bookmarkStart w:id="2" w:name="bookmark2"/>
      <w:r>
        <w:rPr>
          <w:rStyle w:val="1135pt"/>
        </w:rPr>
        <w:t>1</w:t>
      </w:r>
      <w:r>
        <w:t xml:space="preserve"> ОСНОВНАЯ ЧАСТЬ</w:t>
      </w:r>
      <w:bookmarkEnd w:id="2"/>
    </w:p>
    <w:p w:rsidR="001A08B7" w:rsidRDefault="00F659E6">
      <w:pPr>
        <w:pStyle w:val="4"/>
        <w:shd w:val="clear" w:color="auto" w:fill="auto"/>
        <w:spacing w:after="0" w:line="274" w:lineRule="exact"/>
        <w:ind w:left="20" w:right="20" w:firstLine="840"/>
        <w:jc w:val="both"/>
      </w:pPr>
      <w:r>
        <w:t xml:space="preserve">Нормативы </w:t>
      </w:r>
      <w:r w:rsidR="00752A16">
        <w:t xml:space="preserve">муниципального </w:t>
      </w:r>
      <w:r w:rsidR="00752A16" w:rsidRPr="00523437">
        <w:t>образования</w:t>
      </w:r>
      <w:r w:rsidR="00645CF8" w:rsidRPr="00523437">
        <w:t xml:space="preserve"> «</w:t>
      </w:r>
      <w:r w:rsidR="0066584E" w:rsidRPr="00523437">
        <w:t>Пыбьинское</w:t>
      </w:r>
      <w:r w:rsidR="00645CF8" w:rsidRPr="00523437">
        <w:t>»</w:t>
      </w:r>
      <w:r w:rsidR="00752A16" w:rsidRPr="00523437">
        <w:rPr>
          <w:shd w:val="clear" w:color="auto" w:fill="FFFF00"/>
        </w:rPr>
        <w:t xml:space="preserve"> </w:t>
      </w:r>
      <w:r w:rsidR="00645CF8" w:rsidRPr="00523437">
        <w:t>Балезинского</w:t>
      </w:r>
      <w:r>
        <w:t xml:space="preserve"> района направлены на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1A08B7" w:rsidRDefault="00F659E6">
      <w:pPr>
        <w:pStyle w:val="4"/>
        <w:shd w:val="clear" w:color="auto" w:fill="auto"/>
        <w:spacing w:after="0" w:line="274" w:lineRule="exact"/>
        <w:ind w:left="20" w:right="20" w:firstLine="720"/>
        <w:jc w:val="both"/>
        <w:sectPr w:rsidR="001A08B7">
          <w:type w:val="continuous"/>
          <w:pgSz w:w="11905" w:h="16837"/>
          <w:pgMar w:top="996" w:right="477" w:bottom="1238" w:left="1017" w:header="0" w:footer="3" w:gutter="0"/>
          <w:cols w:space="720"/>
          <w:noEndnote/>
          <w:docGrid w:linePitch="360"/>
        </w:sectPr>
      </w:pPr>
      <w:r>
        <w:t xml:space="preserve">Нормативы разработаны в соответствии с Градостроительным кодексом РФ, </w:t>
      </w:r>
      <w:r w:rsidR="00645CF8">
        <w:t>требованиями</w:t>
      </w:r>
      <w:r>
        <w:t xml:space="preserve"> Федерального закона «Технический регламент о безопасности зданий и сооружений», утвержденного постановлением Правительства РФ от 26.12.2014 №1521, иных строительных норм и правил Российской Федерации, а также других нормативно-технических документов Российской Федерации по вопросам градостроительной деятельности и безопасности (далее - градостроительное законодательство).</w:t>
      </w:r>
    </w:p>
    <w:p w:rsidR="001A08B7" w:rsidRDefault="00F659E6">
      <w:pPr>
        <w:pStyle w:val="20"/>
        <w:shd w:val="clear" w:color="auto" w:fill="auto"/>
        <w:spacing w:before="0" w:after="78" w:line="230" w:lineRule="exact"/>
        <w:ind w:left="40"/>
      </w:pPr>
      <w:r>
        <w:t>РАСЧЕТНЫЕ ПОКАЗАТЕЛИ</w:t>
      </w:r>
    </w:p>
    <w:p w:rsidR="001A08B7" w:rsidRDefault="00F659E6">
      <w:pPr>
        <w:pStyle w:val="20"/>
        <w:shd w:val="clear" w:color="auto" w:fill="auto"/>
        <w:spacing w:before="0" w:after="293" w:line="274" w:lineRule="exact"/>
        <w:ind w:left="40"/>
      </w:pPr>
      <w:r>
        <w:t xml:space="preserve">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 </w:t>
      </w:r>
      <w:r w:rsidR="00523437">
        <w:t>МУНИЦИПАЛЬНОГО ОБРАЗОВАНИЯ</w:t>
      </w:r>
      <w:r w:rsidR="00645CF8">
        <w:t xml:space="preserve"> </w:t>
      </w:r>
      <w:r w:rsidR="00645CF8" w:rsidRPr="00523437">
        <w:t>«</w:t>
      </w:r>
      <w:r w:rsidR="0066584E" w:rsidRPr="00523437">
        <w:t>ПЫБЬИНСКОЕ</w:t>
      </w:r>
      <w:r w:rsidR="00645CF8" w:rsidRPr="00523437">
        <w:t>»</w:t>
      </w:r>
      <w:r w:rsidR="00645CF8">
        <w:t xml:space="preserve"> БАЛЕЗИНСКОГО РАЙОНА</w:t>
      </w:r>
    </w:p>
    <w:p w:rsidR="001A08B7" w:rsidRDefault="00F659E6">
      <w:pPr>
        <w:pStyle w:val="20"/>
        <w:shd w:val="clear" w:color="auto" w:fill="auto"/>
        <w:spacing w:before="0" w:after="188" w:line="283" w:lineRule="exact"/>
        <w:ind w:left="20" w:right="1140"/>
        <w:jc w:val="left"/>
      </w:pPr>
      <w:r>
        <w:t xml:space="preserve">Таблица 1. Расчетные показатели минимально допустимого уровня обеспеченности объектами местного значения населения </w:t>
      </w:r>
      <w:r w:rsidR="00523437">
        <w:t xml:space="preserve">муниципального образования </w:t>
      </w:r>
      <w:r w:rsidR="00645CF8" w:rsidRPr="00523437">
        <w:t xml:space="preserve"> «</w:t>
      </w:r>
      <w:r w:rsidR="0066584E" w:rsidRPr="00523437">
        <w:t>Пыбьинское</w:t>
      </w:r>
      <w:r w:rsidR="00645CF8" w:rsidRPr="00523437">
        <w:t>»</w:t>
      </w:r>
      <w:r w:rsidR="00752A16">
        <w:rPr>
          <w:shd w:val="clear" w:color="auto" w:fill="FFFF00"/>
        </w:rPr>
        <w:t xml:space="preserve"> </w:t>
      </w:r>
      <w:r w:rsidR="00645CF8">
        <w:t>Балезинского</w:t>
      </w:r>
      <w:r w:rsidR="00523437">
        <w:t xml:space="preserve"> </w:t>
      </w:r>
      <w:r>
        <w:t>района.</w:t>
      </w:r>
    </w:p>
    <w:p w:rsidR="001A08B7" w:rsidRPr="00F34AC6" w:rsidRDefault="00F659E6">
      <w:pPr>
        <w:pStyle w:val="4"/>
        <w:shd w:val="clear" w:color="auto" w:fill="auto"/>
        <w:spacing w:after="245" w:line="274" w:lineRule="exact"/>
        <w:ind w:left="20" w:right="40" w:firstLine="700"/>
        <w:jc w:val="both"/>
      </w:pPr>
      <w:r>
        <w:t xml:space="preserve">Настоящими нормативами устанавливаются показатели по обеспечению населения муниципального образования объектами местного значения муниципального района (объектами капитального строительства, иными объектами, территориями), создаваемыми в целях осуществления администрацией </w:t>
      </w:r>
      <w:r w:rsidR="00523437">
        <w:t>муниципального образования</w:t>
      </w:r>
      <w:r w:rsidR="00645CF8" w:rsidRPr="00523437">
        <w:t xml:space="preserve"> «</w:t>
      </w:r>
      <w:r w:rsidR="0066584E" w:rsidRPr="00523437">
        <w:t>Пыбьинское</w:t>
      </w:r>
      <w:r w:rsidR="00645CF8" w:rsidRPr="00523437">
        <w:t>»</w:t>
      </w:r>
      <w:r w:rsidR="00523437">
        <w:t xml:space="preserve"> </w:t>
      </w:r>
      <w:r w:rsidR="00645CF8" w:rsidRPr="00523437">
        <w:t>Б</w:t>
      </w:r>
      <w:r w:rsidR="00645CF8">
        <w:t>алезинского района</w:t>
      </w:r>
      <w:r>
        <w:t xml:space="preserve">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уставом муниципального образования, и которые оказывают существенное влияние на социально- экономическое развитие </w:t>
      </w:r>
      <w:r w:rsidR="00523437">
        <w:t>муниципального образования</w:t>
      </w:r>
      <w:r w:rsidR="00645CF8">
        <w:t xml:space="preserve"> </w:t>
      </w:r>
      <w:r w:rsidR="00645CF8" w:rsidRPr="00523437">
        <w:t>«</w:t>
      </w:r>
      <w:r w:rsidR="0066584E" w:rsidRPr="00523437">
        <w:t>Пыбьинское</w:t>
      </w:r>
      <w:r w:rsidR="00645CF8" w:rsidRPr="00523437">
        <w:t>»</w:t>
      </w:r>
      <w:r w:rsidR="00523437">
        <w:t xml:space="preserve"> </w:t>
      </w:r>
      <w:r w:rsidR="00645CF8" w:rsidRPr="00523437">
        <w:t>Балезинского</w:t>
      </w:r>
      <w:r w:rsidR="00645CF8">
        <w:t xml:space="preserve"> района</w:t>
      </w:r>
      <w:r>
        <w:t>. Виды объектов местного значения района указаны в ст.15 Федерального закона от 06.10.2003 №131-ФЗ «Об общих принципах организации</w:t>
      </w:r>
      <w:r w:rsidR="00F34AC6">
        <w:t xml:space="preserve"> местного самоуправления в РФ».</w:t>
      </w:r>
    </w:p>
    <w:tbl>
      <w:tblPr>
        <w:tblW w:w="0" w:type="auto"/>
        <w:jc w:val="center"/>
        <w:tblLayout w:type="fixed"/>
        <w:tblCellMar>
          <w:left w:w="10" w:type="dxa"/>
          <w:right w:w="10" w:type="dxa"/>
        </w:tblCellMar>
        <w:tblLook w:val="04A0" w:firstRow="1" w:lastRow="0" w:firstColumn="1" w:lastColumn="0" w:noHBand="0" w:noVBand="1"/>
      </w:tblPr>
      <w:tblGrid>
        <w:gridCol w:w="2098"/>
        <w:gridCol w:w="3010"/>
        <w:gridCol w:w="1843"/>
        <w:gridCol w:w="1843"/>
        <w:gridCol w:w="1454"/>
      </w:tblGrid>
      <w:tr w:rsidR="001A08B7">
        <w:trPr>
          <w:trHeight w:val="1397"/>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ОМЗ муниципального района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Наименование расчетного показателя ОМЗ муниципального района, единица измерения</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Значение расчетного показателя минимально допустимого уровня обеспеченности ОМЗ муниципального района</w:t>
            </w:r>
          </w:p>
        </w:tc>
      </w:tr>
      <w:tr w:rsidR="001A08B7">
        <w:trPr>
          <w:trHeight w:val="288"/>
          <w:jc w:val="center"/>
        </w:trPr>
        <w:tc>
          <w:tcPr>
            <w:tcW w:w="10248" w:type="dxa"/>
            <w:gridSpan w:val="5"/>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4020"/>
              <w:jc w:val="left"/>
            </w:pPr>
            <w:r>
              <w:t>В области культуры</w:t>
            </w:r>
          </w:p>
        </w:tc>
      </w:tr>
      <w:tr w:rsidR="001A08B7">
        <w:trPr>
          <w:trHeight w:val="835"/>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Межпоселенческие дома культуры на группу сельских поселений</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40"/>
            </w:pPr>
            <w:r>
              <w:t>Уровень обеспеченности, объект</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1 на муниципальный район (в административном центре), с вместимостью не менее 50 мест на 1 тыс. человек</w:t>
            </w:r>
          </w:p>
        </w:tc>
      </w:tr>
      <w:tr w:rsidR="001A08B7">
        <w:trPr>
          <w:trHeight w:val="562"/>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40"/>
            </w:pPr>
            <w:r>
              <w:t>Размер земельного участка, кв. м</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both"/>
            </w:pPr>
            <w:r>
              <w:t>По заданию на проектирование</w:t>
            </w:r>
          </w:p>
        </w:tc>
      </w:tr>
      <w:tr w:rsidR="001A08B7">
        <w:trPr>
          <w:trHeight w:val="562"/>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Учреждения культуры с музейными помещениями</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Численность населения поселения:</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360"/>
            </w:pPr>
            <w:r>
              <w:t>5000-10000</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right="380"/>
              <w:jc w:val="right"/>
            </w:pPr>
            <w:r>
              <w:t>10000</w:t>
            </w:r>
            <w:r>
              <w:softHyphen/>
              <w:t>20000</w:t>
            </w:r>
          </w:p>
        </w:tc>
        <w:tc>
          <w:tcPr>
            <w:tcW w:w="145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20"/>
            </w:pPr>
            <w:r>
              <w:t>более 20000</w:t>
            </w:r>
          </w:p>
        </w:tc>
      </w:tr>
      <w:tr w:rsidR="001A08B7">
        <w:trPr>
          <w:trHeight w:val="56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объект</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900"/>
            </w:pPr>
            <w:r>
              <w:t>1</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860"/>
            </w:pPr>
            <w:r>
              <w:t>2</w:t>
            </w:r>
          </w:p>
        </w:tc>
        <w:tc>
          <w:tcPr>
            <w:tcW w:w="145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580"/>
            </w:pPr>
            <w:r>
              <w:t>2-3</w:t>
            </w:r>
          </w:p>
        </w:tc>
      </w:tr>
      <w:tr w:rsidR="001A08B7">
        <w:trPr>
          <w:trHeight w:val="840"/>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Размер земельного</w:t>
            </w:r>
          </w:p>
          <w:p w:rsidR="001A08B7" w:rsidRDefault="00F659E6">
            <w:pPr>
              <w:pStyle w:val="4"/>
              <w:framePr w:wrap="notBeside" w:vAnchor="text" w:hAnchor="text" w:xAlign="center" w:y="1"/>
              <w:shd w:val="clear" w:color="auto" w:fill="auto"/>
              <w:spacing w:after="0" w:line="274" w:lineRule="exact"/>
              <w:ind w:left="140"/>
            </w:pPr>
            <w:r>
              <w:t>участка,</w:t>
            </w:r>
          </w:p>
          <w:p w:rsidR="001A08B7" w:rsidRDefault="00F659E6">
            <w:pPr>
              <w:pStyle w:val="4"/>
              <w:framePr w:wrap="notBeside" w:vAnchor="text" w:hAnchor="text" w:xAlign="center" w:y="1"/>
              <w:shd w:val="clear" w:color="auto" w:fill="auto"/>
              <w:spacing w:after="0" w:line="274" w:lineRule="exact"/>
              <w:ind w:left="140"/>
            </w:pPr>
            <w:r>
              <w:t>кв. м/объект</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both"/>
            </w:pPr>
            <w:r>
              <w:t>По заданию на проектирование</w:t>
            </w:r>
          </w:p>
        </w:tc>
      </w:tr>
      <w:tr w:rsidR="001A08B7">
        <w:trPr>
          <w:trHeight w:val="1114"/>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Учреждения культуры с выставочными помещениями</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40"/>
            </w:pPr>
            <w:r>
              <w:t>Уровень обеспеченности, объект</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jc w:val="both"/>
            </w:pPr>
            <w:r>
              <w:t>Для муниципальных районов с численностью населения до 50000 человек - 1 учреждение на муниципальный район в административном центре</w:t>
            </w:r>
          </w:p>
        </w:tc>
      </w:tr>
      <w:tr w:rsidR="001A08B7">
        <w:trPr>
          <w:trHeight w:val="566"/>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40"/>
            </w:pPr>
            <w:r>
              <w:t>Размер земельного участка, кв.м</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both"/>
            </w:pPr>
            <w:r>
              <w:t>По заданию на проектирование</w:t>
            </w:r>
          </w:p>
        </w:tc>
      </w:tr>
      <w:tr w:rsidR="001A08B7">
        <w:trPr>
          <w:trHeight w:val="1114"/>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Сельская массовая межпоселенческа я библиотека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тыс. единиц хранения на тыс. чел; читательских мест на тыс. чел</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1 на муниципальный район, в административном центре с дополнительным книжным фондом 4,5 -5 тыс.ед.хранения на 3-4 читательских места</w:t>
            </w:r>
          </w:p>
        </w:tc>
      </w:tr>
      <w:tr w:rsidR="001A08B7">
        <w:trPr>
          <w:trHeight w:val="571"/>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40"/>
            </w:pPr>
            <w:r>
              <w:t>Размер земельного участка,</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both"/>
            </w:pPr>
            <w:r>
              <w:t>По заданию на проектирование</w:t>
            </w:r>
          </w:p>
        </w:tc>
      </w:tr>
    </w:tbl>
    <w:p w:rsidR="001A08B7" w:rsidRDefault="001A08B7">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2098"/>
        <w:gridCol w:w="3010"/>
        <w:gridCol w:w="3259"/>
        <w:gridCol w:w="1882"/>
      </w:tblGrid>
      <w:tr w:rsidR="001A08B7">
        <w:trPr>
          <w:trHeight w:val="322"/>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t>ОМЗ</w:t>
            </w:r>
          </w:p>
        </w:tc>
        <w:tc>
          <w:tcPr>
            <w:tcW w:w="3010" w:type="dxa"/>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660"/>
              <w:jc w:val="left"/>
            </w:pPr>
            <w:r>
              <w:t>Наименование</w:t>
            </w:r>
          </w:p>
        </w:tc>
        <w:tc>
          <w:tcPr>
            <w:tcW w:w="5141" w:type="dxa"/>
            <w:gridSpan w:val="2"/>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t>Значение расчетного показателя</w:t>
            </w:r>
          </w:p>
        </w:tc>
      </w:tr>
      <w:tr w:rsidR="001A08B7">
        <w:trPr>
          <w:trHeight w:val="571"/>
          <w:jc w:val="center"/>
        </w:trPr>
        <w:tc>
          <w:tcPr>
            <w:tcW w:w="2098"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83" w:lineRule="exact"/>
            </w:pPr>
            <w:r>
              <w:t>муниципального района</w:t>
            </w:r>
          </w:p>
        </w:tc>
        <w:tc>
          <w:tcPr>
            <w:tcW w:w="3010"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ind w:left="140"/>
              <w:jc w:val="left"/>
            </w:pPr>
            <w:r>
              <w:t>расчетного показателя ОМЗ муниципального</w:t>
            </w:r>
          </w:p>
        </w:tc>
        <w:tc>
          <w:tcPr>
            <w:tcW w:w="5141" w:type="dxa"/>
            <w:gridSpan w:val="2"/>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83" w:lineRule="exact"/>
            </w:pPr>
            <w:r>
              <w:t>минимально допустимого уровня обеспеченности</w:t>
            </w:r>
          </w:p>
        </w:tc>
      </w:tr>
      <w:tr w:rsidR="001A08B7">
        <w:trPr>
          <w:trHeight w:val="283"/>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660"/>
              <w:jc w:val="left"/>
            </w:pPr>
            <w:r>
              <w:t>района, единица</w:t>
            </w:r>
          </w:p>
        </w:tc>
        <w:tc>
          <w:tcPr>
            <w:tcW w:w="5141" w:type="dxa"/>
            <w:gridSpan w:val="2"/>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t>ОМЗ муниципального района</w:t>
            </w:r>
          </w:p>
        </w:tc>
      </w:tr>
      <w:tr w:rsidR="001A08B7">
        <w:trPr>
          <w:trHeight w:val="226"/>
          <w:jc w:val="center"/>
        </w:trPr>
        <w:tc>
          <w:tcPr>
            <w:tcW w:w="209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940"/>
              <w:jc w:val="left"/>
            </w:pPr>
            <w:r>
              <w:t>измерения</w:t>
            </w:r>
          </w:p>
        </w:tc>
        <w:tc>
          <w:tcPr>
            <w:tcW w:w="3259" w:type="dxa"/>
            <w:tcBorders>
              <w:left w:val="single" w:sz="4" w:space="0" w:color="auto"/>
              <w:bottom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50"/>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кв. м/объект</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07"/>
          <w:jc w:val="center"/>
        </w:trPr>
        <w:tc>
          <w:tcPr>
            <w:tcW w:w="10249" w:type="dxa"/>
            <w:gridSpan w:val="4"/>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В случае, необходимости организации и учреждения культуры могут объединяться в одном</w:t>
            </w:r>
          </w:p>
        </w:tc>
      </w:tr>
      <w:tr w:rsidR="001A08B7">
        <w:trPr>
          <w:trHeight w:val="254"/>
          <w:jc w:val="center"/>
        </w:trPr>
        <w:tc>
          <w:tcPr>
            <w:tcW w:w="8367" w:type="dxa"/>
            <w:gridSpan w:val="3"/>
            <w:tcBorders>
              <w:left w:val="single" w:sz="4" w:space="0" w:color="auto"/>
              <w:bottom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здании, сохраняя минимальный уровень обеспеченности.</w:t>
            </w: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12"/>
          <w:jc w:val="center"/>
        </w:trPr>
        <w:tc>
          <w:tcPr>
            <w:tcW w:w="10249" w:type="dxa"/>
            <w:gridSpan w:val="4"/>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80"/>
              <w:jc w:val="left"/>
            </w:pPr>
            <w:r>
              <w:t>В области образования (дошкольное, начальное общее, основное общее, среднее общее,</w:t>
            </w:r>
          </w:p>
        </w:tc>
      </w:tr>
      <w:tr w:rsidR="001A08B7">
        <w:trPr>
          <w:trHeight w:val="250"/>
          <w:jc w:val="center"/>
        </w:trPr>
        <w:tc>
          <w:tcPr>
            <w:tcW w:w="2098" w:type="dxa"/>
            <w:tcBorders>
              <w:left w:val="single" w:sz="4" w:space="0" w:color="auto"/>
              <w:bottom w:val="single" w:sz="4" w:space="0" w:color="auto"/>
            </w:tcBorders>
            <w:shd w:val="clear" w:color="auto" w:fill="FFFFFF"/>
          </w:tcPr>
          <w:p w:rsidR="001A08B7" w:rsidRDefault="001A08B7">
            <w:pPr>
              <w:framePr w:wrap="notBeside" w:vAnchor="text" w:hAnchor="text" w:xAlign="center" w:y="1"/>
              <w:rPr>
                <w:sz w:val="10"/>
                <w:szCs w:val="10"/>
              </w:rPr>
            </w:pPr>
          </w:p>
        </w:tc>
        <w:tc>
          <w:tcPr>
            <w:tcW w:w="6269" w:type="dxa"/>
            <w:gridSpan w:val="2"/>
            <w:tcBorders>
              <w:bottom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400"/>
              <w:jc w:val="left"/>
            </w:pPr>
            <w:r>
              <w:t>дополнительное образование)</w:t>
            </w: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562"/>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Объекты дошкольного</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место</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rPr>
                <w:rStyle w:val="11"/>
              </w:rPr>
              <w:t>100% охват детей в возрасте от 3 до 7 лет</w:t>
            </w:r>
          </w:p>
        </w:tc>
      </w:tr>
      <w:tr w:rsidR="001A08B7">
        <w:trPr>
          <w:trHeight w:val="355"/>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образования</w:t>
            </w:r>
          </w:p>
        </w:tc>
        <w:tc>
          <w:tcPr>
            <w:tcW w:w="301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Размер земельного</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rPr>
                <w:rStyle w:val="21"/>
              </w:rPr>
              <w:t>На 1 место при вместимости организации:</w:t>
            </w:r>
          </w:p>
        </w:tc>
      </w:tr>
      <w:tr w:rsidR="001A08B7">
        <w:trPr>
          <w:trHeight w:val="350"/>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участка, кв.м/место</w:t>
            </w: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на 100 мест</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40</w:t>
            </w:r>
          </w:p>
        </w:tc>
      </w:tr>
      <w:tr w:rsidR="001A08B7">
        <w:trPr>
          <w:trHeight w:val="355"/>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101-140 мест</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35</w:t>
            </w:r>
          </w:p>
        </w:tc>
      </w:tr>
      <w:tr w:rsidR="001A08B7">
        <w:trPr>
          <w:trHeight w:val="350"/>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140-350 мест</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33</w:t>
            </w:r>
          </w:p>
        </w:tc>
      </w:tr>
      <w:tr w:rsidR="001A08B7">
        <w:trPr>
          <w:trHeight w:val="336"/>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Размер групповой</w:t>
            </w:r>
          </w:p>
        </w:tc>
        <w:tc>
          <w:tcPr>
            <w:tcW w:w="1882" w:type="dxa"/>
            <w:tcBorders>
              <w:top w:val="single" w:sz="4" w:space="0" w:color="auto"/>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69"/>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площадки на 1 место</w:t>
            </w:r>
          </w:p>
        </w:tc>
        <w:tc>
          <w:tcPr>
            <w:tcW w:w="1882"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83"/>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следует принимать не</w:t>
            </w:r>
          </w:p>
        </w:tc>
        <w:tc>
          <w:tcPr>
            <w:tcW w:w="1882"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30"/>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менее:</w:t>
            </w:r>
          </w:p>
        </w:tc>
        <w:tc>
          <w:tcPr>
            <w:tcW w:w="1882"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50"/>
          <w:jc w:val="center"/>
        </w:trPr>
        <w:tc>
          <w:tcPr>
            <w:tcW w:w="209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Для детей ясельного возраста</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7,2</w:t>
            </w:r>
          </w:p>
        </w:tc>
      </w:tr>
      <w:tr w:rsidR="001A08B7">
        <w:trPr>
          <w:trHeight w:val="298"/>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Объекты</w:t>
            </w:r>
          </w:p>
        </w:tc>
        <w:tc>
          <w:tcPr>
            <w:tcW w:w="301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Уровень обеспеченности,</w:t>
            </w:r>
          </w:p>
        </w:tc>
        <w:tc>
          <w:tcPr>
            <w:tcW w:w="5141" w:type="dxa"/>
            <w:gridSpan w:val="2"/>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rPr>
                <w:rStyle w:val="11"/>
              </w:rPr>
              <w:t>100% охват основным общим средним</w:t>
            </w:r>
          </w:p>
        </w:tc>
      </w:tr>
      <w:tr w:rsidR="001A08B7">
        <w:trPr>
          <w:trHeight w:val="283"/>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общеобразователь</w:t>
            </w:r>
          </w:p>
        </w:tc>
        <w:tc>
          <w:tcPr>
            <w:tcW w:w="3010"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учащихся</w:t>
            </w:r>
          </w:p>
        </w:tc>
        <w:tc>
          <w:tcPr>
            <w:tcW w:w="5141" w:type="dxa"/>
            <w:gridSpan w:val="2"/>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rPr>
                <w:rStyle w:val="11"/>
              </w:rPr>
              <w:t>образованием детей (1-9 классы); 100% охват</w:t>
            </w:r>
          </w:p>
        </w:tc>
      </w:tr>
      <w:tr w:rsidR="001A08B7">
        <w:trPr>
          <w:trHeight w:val="259"/>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ных</w:t>
            </w:r>
          </w:p>
        </w:tc>
        <w:tc>
          <w:tcPr>
            <w:tcW w:w="3010"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5141" w:type="dxa"/>
            <w:gridSpan w:val="2"/>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rPr>
                <w:rStyle w:val="11"/>
              </w:rPr>
              <w:t>детей средним образованием (10-11 классы);</w:t>
            </w:r>
          </w:p>
        </w:tc>
      </w:tr>
      <w:tr w:rsidR="001A08B7">
        <w:trPr>
          <w:trHeight w:val="307"/>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организаций</w:t>
            </w:r>
          </w:p>
        </w:tc>
        <w:tc>
          <w:tcPr>
            <w:tcW w:w="301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Размер земельного</w:t>
            </w:r>
          </w:p>
        </w:tc>
        <w:tc>
          <w:tcPr>
            <w:tcW w:w="5141" w:type="dxa"/>
            <w:gridSpan w:val="2"/>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На 1 учащегося при вместимости</w:t>
            </w:r>
          </w:p>
        </w:tc>
      </w:tr>
      <w:tr w:rsidR="001A08B7">
        <w:trPr>
          <w:trHeight w:val="254"/>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участка, кв.м/учащегося</w:t>
            </w:r>
          </w:p>
        </w:tc>
        <w:tc>
          <w:tcPr>
            <w:tcW w:w="3259" w:type="dxa"/>
            <w:tcBorders>
              <w:left w:val="single" w:sz="4" w:space="0" w:color="auto"/>
              <w:bottom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организации:</w:t>
            </w: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50"/>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Свыше 40 до 400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50</w:t>
            </w:r>
          </w:p>
        </w:tc>
      </w:tr>
      <w:tr w:rsidR="001A08B7">
        <w:trPr>
          <w:trHeight w:val="355"/>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400-500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60</w:t>
            </w:r>
          </w:p>
        </w:tc>
      </w:tr>
      <w:tr w:rsidR="001A08B7">
        <w:trPr>
          <w:trHeight w:val="350"/>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500-600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50</w:t>
            </w:r>
          </w:p>
        </w:tc>
      </w:tr>
      <w:tr w:rsidR="001A08B7">
        <w:trPr>
          <w:trHeight w:val="355"/>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600-800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40</w:t>
            </w:r>
          </w:p>
        </w:tc>
      </w:tr>
      <w:tr w:rsidR="001A08B7">
        <w:trPr>
          <w:trHeight w:val="350"/>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800-1100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33</w:t>
            </w:r>
          </w:p>
        </w:tc>
      </w:tr>
      <w:tr w:rsidR="001A08B7">
        <w:trPr>
          <w:trHeight w:val="355"/>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1100-1500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21</w:t>
            </w:r>
          </w:p>
        </w:tc>
      </w:tr>
      <w:tr w:rsidR="001A08B7">
        <w:trPr>
          <w:trHeight w:val="355"/>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1500-2000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17</w:t>
            </w:r>
          </w:p>
        </w:tc>
      </w:tr>
      <w:tr w:rsidR="001A08B7">
        <w:trPr>
          <w:trHeight w:val="350"/>
          <w:jc w:val="center"/>
        </w:trPr>
        <w:tc>
          <w:tcPr>
            <w:tcW w:w="209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2000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16</w:t>
            </w:r>
          </w:p>
        </w:tc>
      </w:tr>
      <w:tr w:rsidR="001A08B7">
        <w:trPr>
          <w:trHeight w:val="562"/>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Объекты дополнительного</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Численность населения, тыс.человек</w:t>
            </w: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140"/>
            </w:pPr>
            <w:r>
              <w:t>от 3 до 10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500"/>
            </w:pPr>
            <w:r>
              <w:t>свыше 10</w:t>
            </w:r>
          </w:p>
        </w:tc>
      </w:tr>
      <w:tr w:rsidR="001A08B7">
        <w:trPr>
          <w:trHeight w:val="1392"/>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образования</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объект</w:t>
            </w: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600"/>
            </w:pPr>
            <w:r>
              <w:t>1</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right="220"/>
              <w:jc w:val="right"/>
            </w:pPr>
            <w:r>
              <w:t>из расчета 12% учащихся 1 -8 классов общеобразовательных школ</w:t>
            </w:r>
          </w:p>
        </w:tc>
      </w:tr>
      <w:tr w:rsidR="001A08B7">
        <w:trPr>
          <w:trHeight w:val="562"/>
          <w:jc w:val="center"/>
        </w:trPr>
        <w:tc>
          <w:tcPr>
            <w:tcW w:w="209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40"/>
            </w:pPr>
            <w:r>
              <w:t>Размер земельного участка, кв.м/ место</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По заданию на проектирование</w:t>
            </w:r>
          </w:p>
        </w:tc>
      </w:tr>
      <w:tr w:rsidR="001A08B7">
        <w:trPr>
          <w:trHeight w:val="350"/>
          <w:jc w:val="center"/>
        </w:trPr>
        <w:tc>
          <w:tcPr>
            <w:tcW w:w="10249"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620"/>
              <w:jc w:val="left"/>
            </w:pPr>
            <w:r>
              <w:t>В области здравоохранения</w:t>
            </w:r>
          </w:p>
        </w:tc>
      </w:tr>
      <w:tr w:rsidR="001A08B7">
        <w:trPr>
          <w:trHeight w:val="566"/>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Фельдшерские и фельшерско-</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объект</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По заданию на проектирование</w:t>
            </w:r>
          </w:p>
        </w:tc>
      </w:tr>
      <w:tr w:rsidR="001A08B7">
        <w:trPr>
          <w:trHeight w:val="307"/>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акушерские</w:t>
            </w:r>
          </w:p>
        </w:tc>
        <w:tc>
          <w:tcPr>
            <w:tcW w:w="301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Размер земельного</w:t>
            </w:r>
          </w:p>
        </w:tc>
        <w:tc>
          <w:tcPr>
            <w:tcW w:w="5141" w:type="dxa"/>
            <w:gridSpan w:val="2"/>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0,2</w:t>
            </w:r>
          </w:p>
        </w:tc>
      </w:tr>
      <w:tr w:rsidR="001A08B7">
        <w:trPr>
          <w:trHeight w:val="269"/>
          <w:jc w:val="center"/>
        </w:trPr>
        <w:tc>
          <w:tcPr>
            <w:tcW w:w="2098"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пункты</w:t>
            </w:r>
          </w:p>
        </w:tc>
        <w:tc>
          <w:tcPr>
            <w:tcW w:w="3010"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участка, га/объект</w:t>
            </w:r>
          </w:p>
        </w:tc>
        <w:tc>
          <w:tcPr>
            <w:tcW w:w="5141" w:type="dxa"/>
            <w:gridSpan w:val="2"/>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r>
    </w:tbl>
    <w:p w:rsidR="001A08B7" w:rsidRPr="00581F99" w:rsidRDefault="001A08B7" w:rsidP="00F34AC6">
      <w:pPr>
        <w:widowControl w:val="0"/>
        <w:rPr>
          <w:sz w:val="16"/>
          <w:szCs w:val="16"/>
        </w:rPr>
      </w:pPr>
    </w:p>
    <w:tbl>
      <w:tblPr>
        <w:tblW w:w="0" w:type="auto"/>
        <w:tblLayout w:type="fixed"/>
        <w:tblCellMar>
          <w:left w:w="10" w:type="dxa"/>
          <w:right w:w="10" w:type="dxa"/>
        </w:tblCellMar>
        <w:tblLook w:val="04A0" w:firstRow="1" w:lastRow="0" w:firstColumn="1" w:lastColumn="0" w:noHBand="0" w:noVBand="1"/>
      </w:tblPr>
      <w:tblGrid>
        <w:gridCol w:w="2098"/>
        <w:gridCol w:w="3010"/>
        <w:gridCol w:w="3259"/>
        <w:gridCol w:w="1882"/>
      </w:tblGrid>
      <w:tr w:rsidR="00F34AC6" w:rsidTr="00F34AC6">
        <w:trPr>
          <w:trHeight w:val="1402"/>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20"/>
              <w:framePr w:wrap="notBeside" w:vAnchor="text" w:hAnchor="text" w:xAlign="center" w:y="1"/>
              <w:shd w:val="clear" w:color="auto" w:fill="auto"/>
              <w:spacing w:before="0" w:after="0"/>
            </w:pPr>
            <w:r>
              <w:t>ОМЗ муниципального района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20"/>
              <w:framePr w:wrap="notBeside" w:vAnchor="text" w:hAnchor="text" w:xAlign="center" w:y="1"/>
              <w:shd w:val="clear" w:color="auto" w:fill="auto"/>
              <w:spacing w:before="0" w:after="0" w:line="274" w:lineRule="exact"/>
            </w:pPr>
            <w:r>
              <w:t>Наименование расчетного показателя ОМЗ муниципального района, единица измерения</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20"/>
              <w:framePr w:wrap="notBeside" w:vAnchor="text" w:hAnchor="text" w:xAlign="center" w:y="1"/>
              <w:shd w:val="clear" w:color="auto" w:fill="auto"/>
              <w:spacing w:before="0" w:after="0" w:line="274" w:lineRule="exact"/>
            </w:pPr>
            <w:r>
              <w:t>Значение расчетного показателя минимально допустимого уровня обеспеченности ОМЗ муниципального района</w:t>
            </w:r>
          </w:p>
        </w:tc>
      </w:tr>
      <w:tr w:rsidR="00F34AC6" w:rsidTr="00F34AC6">
        <w:trPr>
          <w:trHeight w:val="562"/>
        </w:trPr>
        <w:tc>
          <w:tcPr>
            <w:tcW w:w="2098"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20"/>
            </w:pPr>
            <w:r>
              <w:t>Станции скорой помощи</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40"/>
            </w:pPr>
            <w:r>
              <w:t>Уровень обеспеченности, автомобиль</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1 на 10 тыс.человек</w:t>
            </w:r>
          </w:p>
        </w:tc>
      </w:tr>
      <w:tr w:rsidR="00F34AC6" w:rsidTr="00F34AC6">
        <w:trPr>
          <w:trHeight w:val="562"/>
        </w:trPr>
        <w:tc>
          <w:tcPr>
            <w:tcW w:w="2098"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40"/>
            </w:pPr>
            <w:r>
              <w:t>Размер земельного участка, га/автомобиль</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0,05 на 1 автомобиль, но не менее 0,1</w:t>
            </w:r>
          </w:p>
        </w:tc>
      </w:tr>
      <w:tr w:rsidR="00F34AC6" w:rsidTr="00F34AC6">
        <w:trPr>
          <w:trHeight w:val="562"/>
        </w:trPr>
        <w:tc>
          <w:tcPr>
            <w:tcW w:w="2098"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t>Выдвижные пункты скорой помощи</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40"/>
            </w:pPr>
            <w:r>
              <w:t>Уровень обеспеченности, автомобиль</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1 на 5 тыс.жителей</w:t>
            </w:r>
          </w:p>
        </w:tc>
      </w:tr>
      <w:tr w:rsidR="00F34AC6" w:rsidTr="00F34AC6">
        <w:trPr>
          <w:trHeight w:val="562"/>
        </w:trPr>
        <w:tc>
          <w:tcPr>
            <w:tcW w:w="2098"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40"/>
            </w:pPr>
            <w:r>
              <w:t>Размер земельного участка, га/автомобиль</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0,05 на 1 автомобиль, но не менее 0,1</w:t>
            </w:r>
          </w:p>
        </w:tc>
      </w:tr>
      <w:tr w:rsidR="00F34AC6" w:rsidTr="00F34AC6">
        <w:trPr>
          <w:trHeight w:val="566"/>
        </w:trPr>
        <w:tc>
          <w:tcPr>
            <w:tcW w:w="2098"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20"/>
            </w:pPr>
            <w:r>
              <w:t>Поликлиники, амбулатории, диспансеры без стационара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40"/>
            </w:pPr>
            <w:r>
              <w:t>Уровень обеспеченности, посещений в смену</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20 посещений в смену на 1 тыс.человек</w:t>
            </w:r>
          </w:p>
        </w:tc>
      </w:tr>
      <w:tr w:rsidR="00F34AC6" w:rsidTr="00F34AC6">
        <w:trPr>
          <w:trHeight w:val="835"/>
        </w:trPr>
        <w:tc>
          <w:tcPr>
            <w:tcW w:w="2098"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40"/>
            </w:pPr>
            <w:r>
              <w:t>Размер земельного участка, га/посещений в смену</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20"/>
            </w:pPr>
            <w:r>
              <w:t>0,1 на 100 посещений в смену, но не менее 0,2 га</w:t>
            </w:r>
          </w:p>
        </w:tc>
      </w:tr>
      <w:tr w:rsidR="00F34AC6" w:rsidTr="00F34AC6">
        <w:trPr>
          <w:trHeight w:val="835"/>
        </w:trPr>
        <w:tc>
          <w:tcPr>
            <w:tcW w:w="2098"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t>Стационары для детей и взрослых для интенсивного лечения и кратковременного пребывания</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40"/>
            </w:pPr>
            <w:r>
              <w:t>Уровень обеспеченности, коек</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134,7 на 10 тыс.жителей</w:t>
            </w:r>
          </w:p>
        </w:tc>
      </w:tr>
      <w:tr w:rsidR="00F34AC6" w:rsidTr="00F34AC6">
        <w:trPr>
          <w:trHeight w:val="840"/>
        </w:trPr>
        <w:tc>
          <w:tcPr>
            <w:tcW w:w="2098"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40"/>
            </w:pPr>
            <w:r>
              <w:t>Размер земельного участка, кв.м/место</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t>до 50 коек - 150 кв.м на 1 койку; свыше 50 до 100 - 150-100 кв.м на 1 койку свыше 100 до 200 - 100-80 кв.м на 1 койку</w:t>
            </w:r>
          </w:p>
        </w:tc>
      </w:tr>
      <w:tr w:rsidR="00F34AC6" w:rsidTr="00F34AC6">
        <w:trPr>
          <w:trHeight w:val="562"/>
        </w:trPr>
        <w:tc>
          <w:tcPr>
            <w:tcW w:w="2098"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Аптеки</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40"/>
            </w:pPr>
            <w:r>
              <w:t>Уровень обеспеченности, объект</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1 учреждение на 3,0 тыс.жителей</w:t>
            </w:r>
          </w:p>
        </w:tc>
      </w:tr>
      <w:tr w:rsidR="00F34AC6" w:rsidTr="00F34AC6">
        <w:trPr>
          <w:trHeight w:val="835"/>
        </w:trPr>
        <w:tc>
          <w:tcPr>
            <w:tcW w:w="2098"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40"/>
            </w:pPr>
            <w:r>
              <w:t>Размер земельного участка, га/объект</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rPr>
                <w:lang w:val="en-US"/>
              </w:rPr>
              <w:t>I</w:t>
            </w:r>
            <w:r w:rsidRPr="00645CF8">
              <w:t>-</w:t>
            </w:r>
            <w:r>
              <w:rPr>
                <w:lang w:val="en-US"/>
              </w:rPr>
              <w:t>II</w:t>
            </w:r>
            <w:r>
              <w:t xml:space="preserve">- 0,3 или встроенные </w:t>
            </w:r>
            <w:r>
              <w:rPr>
                <w:lang w:val="en-US"/>
              </w:rPr>
              <w:t>III</w:t>
            </w:r>
            <w:r w:rsidRPr="00645CF8">
              <w:t>-</w:t>
            </w:r>
            <w:r>
              <w:rPr>
                <w:lang w:val="en-US"/>
              </w:rPr>
              <w:t>V</w:t>
            </w:r>
            <w:r>
              <w:t xml:space="preserve">- 0,25 </w:t>
            </w:r>
            <w:r>
              <w:rPr>
                <w:lang w:val="en-US"/>
              </w:rPr>
              <w:t>VI</w:t>
            </w:r>
            <w:r w:rsidRPr="00645CF8">
              <w:t>-</w:t>
            </w:r>
            <w:r>
              <w:rPr>
                <w:lang w:val="en-US"/>
              </w:rPr>
              <w:t>VIII</w:t>
            </w:r>
            <w:r>
              <w:t>- 0,2</w:t>
            </w:r>
          </w:p>
        </w:tc>
      </w:tr>
      <w:tr w:rsidR="00F34AC6" w:rsidTr="00F34AC6">
        <w:trPr>
          <w:trHeight w:val="355"/>
        </w:trPr>
        <w:tc>
          <w:tcPr>
            <w:tcW w:w="10249" w:type="dxa"/>
            <w:gridSpan w:val="4"/>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20"/>
              <w:framePr w:wrap="notBeside" w:vAnchor="text" w:hAnchor="text" w:xAlign="center" w:y="1"/>
              <w:shd w:val="clear" w:color="auto" w:fill="auto"/>
              <w:spacing w:before="0" w:after="0" w:line="240" w:lineRule="auto"/>
              <w:ind w:left="1120"/>
              <w:jc w:val="left"/>
            </w:pPr>
            <w:r>
              <w:t>В области утилизации и переработки бытовых и промышленных отходов</w:t>
            </w:r>
          </w:p>
        </w:tc>
      </w:tr>
      <w:tr w:rsidR="00F34AC6" w:rsidTr="00F34AC6">
        <w:trPr>
          <w:trHeight w:val="1387"/>
        </w:trPr>
        <w:tc>
          <w:tcPr>
            <w:tcW w:w="2098"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t>Объекты</w:t>
            </w:r>
          </w:p>
          <w:p w:rsidR="00F34AC6" w:rsidRDefault="00F34AC6" w:rsidP="00F34AC6">
            <w:pPr>
              <w:pStyle w:val="4"/>
              <w:framePr w:wrap="notBeside" w:vAnchor="text" w:hAnchor="text" w:xAlign="center" w:y="1"/>
              <w:shd w:val="clear" w:color="auto" w:fill="auto"/>
              <w:spacing w:after="0" w:line="274" w:lineRule="exact"/>
              <w:ind w:left="120"/>
            </w:pPr>
            <w:r>
              <w:t>транспортировки, обезвреживания и переработки бытовых отходов</w:t>
            </w:r>
          </w:p>
        </w:tc>
        <w:tc>
          <w:tcPr>
            <w:tcW w:w="3010"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jc w:val="center"/>
            </w:pPr>
            <w:r>
              <w:rPr>
                <w:rStyle w:val="22"/>
              </w:rPr>
              <w:t>Размер земельного участка предприятия и сооружения по транспортировке, обезвреживанию и переработке бытовых</w:t>
            </w:r>
          </w:p>
          <w:p w:rsidR="00F34AC6" w:rsidRDefault="00F34AC6" w:rsidP="00F34AC6">
            <w:pPr>
              <w:pStyle w:val="4"/>
              <w:framePr w:wrap="notBeside" w:vAnchor="text" w:hAnchor="text" w:xAlign="center" w:y="1"/>
              <w:shd w:val="clear" w:color="auto" w:fill="auto"/>
              <w:spacing w:after="0" w:line="274" w:lineRule="exact"/>
              <w:jc w:val="center"/>
            </w:pPr>
            <w:r>
              <w:rPr>
                <w:rStyle w:val="22"/>
              </w:rPr>
              <w:t>отходов, га/ 1тыс. тонн твердых бытовых отходов в год</w:t>
            </w: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rPr>
                <w:rStyle w:val="22"/>
              </w:rPr>
              <w:t>предприятия по промышленной переработке бытовых отходов мощностью до 100 тысяч тонн в год</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0,05</w:t>
            </w:r>
          </w:p>
        </w:tc>
      </w:tr>
      <w:tr w:rsidR="00F34AC6" w:rsidTr="00F34AC6">
        <w:trPr>
          <w:trHeight w:val="1392"/>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rPr>
                <w:rStyle w:val="22"/>
              </w:rPr>
              <w:t>предприятия по промышленной переработке бытовых отходов мощностью 100 и более тысяч тонн в год</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0,04</w:t>
            </w:r>
          </w:p>
        </w:tc>
      </w:tr>
      <w:tr w:rsidR="00F34AC6" w:rsidTr="00F34AC6">
        <w:trPr>
          <w:trHeight w:val="288"/>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1"/>
              <w:framePr w:wrap="notBeside" w:vAnchor="text" w:hAnchor="text" w:xAlign="center" w:y="1"/>
              <w:shd w:val="clear" w:color="auto" w:fill="auto"/>
              <w:spacing w:line="240" w:lineRule="auto"/>
              <w:ind w:left="120"/>
            </w:pPr>
            <w:r>
              <w:rPr>
                <w:rStyle w:val="42"/>
              </w:rPr>
              <w:t>склады свежего компоста</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0,02</w:t>
            </w:r>
          </w:p>
        </w:tc>
      </w:tr>
      <w:tr w:rsidR="00F34AC6" w:rsidTr="00F34AC6">
        <w:trPr>
          <w:trHeight w:val="1114"/>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rPr>
                <w:rStyle w:val="22"/>
              </w:rPr>
              <w:t>полигоны (кроме полигонов по обезвреживанию и захоронению токсичных промышленных отходов)</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0,5</w:t>
            </w:r>
          </w:p>
        </w:tc>
      </w:tr>
      <w:tr w:rsidR="00F34AC6" w:rsidTr="00F34AC6">
        <w:trPr>
          <w:trHeight w:val="283"/>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rPr>
                <w:rStyle w:val="22"/>
              </w:rPr>
              <w:t>поля компостирования</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2,0</w:t>
            </w:r>
          </w:p>
        </w:tc>
      </w:tr>
      <w:tr w:rsidR="00F34AC6" w:rsidTr="00F34AC6">
        <w:trPr>
          <w:trHeight w:val="288"/>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rPr>
                <w:rStyle w:val="22"/>
              </w:rPr>
              <w:t>поля ассенизации</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0,2</w:t>
            </w:r>
          </w:p>
        </w:tc>
      </w:tr>
      <w:tr w:rsidR="00F34AC6" w:rsidTr="00F34AC6">
        <w:trPr>
          <w:trHeight w:val="283"/>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сливные станции</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0,04</w:t>
            </w:r>
          </w:p>
        </w:tc>
      </w:tr>
      <w:tr w:rsidR="00F34AC6" w:rsidTr="00F34AC6">
        <w:trPr>
          <w:trHeight w:val="562"/>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69" w:lineRule="exact"/>
              <w:ind w:left="120"/>
            </w:pPr>
            <w:r>
              <w:t>мусороперегрузочные станции</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0,3</w:t>
            </w:r>
          </w:p>
        </w:tc>
      </w:tr>
      <w:tr w:rsidR="00F34AC6" w:rsidTr="00F34AC6">
        <w:trPr>
          <w:trHeight w:val="298"/>
        </w:trPr>
        <w:tc>
          <w:tcPr>
            <w:tcW w:w="2098"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rPr>
                <w:rStyle w:val="22"/>
              </w:rPr>
              <w:t>поля складирования и</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0,3</w:t>
            </w:r>
          </w:p>
        </w:tc>
      </w:tr>
    </w:tbl>
    <w:p w:rsidR="001A08B7" w:rsidRDefault="001A08B7">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2098"/>
        <w:gridCol w:w="3010"/>
        <w:gridCol w:w="3259"/>
        <w:gridCol w:w="1882"/>
      </w:tblGrid>
      <w:tr w:rsidR="001A08B7">
        <w:trPr>
          <w:trHeight w:val="1402"/>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pPr>
            <w:r>
              <w:t>ОМЗ муниципального района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Наименование расчетного показателя ОМЗ муниципального района, единица измерения</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Значение расчетного показателя минимально допустимого уровня обеспеченности ОМЗ муниципального района</w:t>
            </w:r>
          </w:p>
        </w:tc>
      </w:tr>
      <w:tr w:rsidR="001A08B7">
        <w:trPr>
          <w:trHeight w:val="83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rPr>
                <w:rStyle w:val="31"/>
              </w:rPr>
              <w:t>захоронения обезвреженных осадков (по сухому веществу)</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562"/>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center"/>
            </w:pPr>
            <w:r>
              <w:t>Скотомогильники</w:t>
            </w:r>
          </w:p>
          <w:p w:rsidR="001A08B7" w:rsidRDefault="00F659E6">
            <w:pPr>
              <w:pStyle w:val="4"/>
              <w:framePr w:wrap="notBeside" w:vAnchor="text" w:hAnchor="text" w:xAlign="center" w:y="1"/>
              <w:shd w:val="clear" w:color="auto" w:fill="auto"/>
              <w:spacing w:after="0" w:line="274" w:lineRule="exact"/>
              <w:jc w:val="center"/>
            </w:pPr>
            <w:r>
              <w:t>(биотермические</w:t>
            </w:r>
          </w:p>
          <w:p w:rsidR="001A08B7" w:rsidRDefault="00F659E6">
            <w:pPr>
              <w:pStyle w:val="4"/>
              <w:framePr w:wrap="notBeside" w:vAnchor="text" w:hAnchor="text" w:xAlign="center" w:y="1"/>
              <w:shd w:val="clear" w:color="auto" w:fill="auto"/>
              <w:spacing w:after="0" w:line="274" w:lineRule="exact"/>
              <w:jc w:val="both"/>
            </w:pPr>
            <w:r>
              <w:t>ямы)</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40"/>
            </w:pPr>
            <w:r>
              <w:t>Размеры земельного участка, кв.м</w:t>
            </w: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не менее 600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840"/>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rPr>
                <w:rStyle w:val="31"/>
              </w:rPr>
              <w:t>Минимальные расстояния от скотомогильника (биотермической ямы), м</w:t>
            </w: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jc w:val="both"/>
            </w:pPr>
            <w:r>
              <w:rPr>
                <w:rStyle w:val="31"/>
              </w:rPr>
              <w:t>до жилых, общественных зданий, животноводческих ферм (комплексов)</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1000</w:t>
            </w:r>
          </w:p>
        </w:tc>
      </w:tr>
      <w:tr w:rsidR="001A08B7">
        <w:trPr>
          <w:trHeight w:val="56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83" w:lineRule="exact"/>
              <w:ind w:left="120"/>
            </w:pPr>
            <w:r>
              <w:t>до автомобильных, железных дорог</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300</w:t>
            </w:r>
          </w:p>
        </w:tc>
      </w:tr>
      <w:tr w:rsidR="001A08B7">
        <w:trPr>
          <w:trHeight w:val="283"/>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до скотопрогонов и пастбищ</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200</w:t>
            </w:r>
          </w:p>
        </w:tc>
      </w:tr>
      <w:tr w:rsidR="001A08B7">
        <w:trPr>
          <w:trHeight w:val="1392"/>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Установки</w:t>
            </w:r>
          </w:p>
          <w:p w:rsidR="001A08B7" w:rsidRDefault="00F659E6">
            <w:pPr>
              <w:pStyle w:val="4"/>
              <w:framePr w:wrap="notBeside" w:vAnchor="text" w:hAnchor="text" w:xAlign="center" w:y="1"/>
              <w:shd w:val="clear" w:color="auto" w:fill="auto"/>
              <w:spacing w:after="0" w:line="274" w:lineRule="exact"/>
              <w:jc w:val="center"/>
            </w:pPr>
            <w:r>
              <w:t>термической</w:t>
            </w:r>
          </w:p>
          <w:p w:rsidR="001A08B7" w:rsidRDefault="00F659E6">
            <w:pPr>
              <w:pStyle w:val="4"/>
              <w:framePr w:wrap="notBeside" w:vAnchor="text" w:hAnchor="text" w:xAlign="center" w:y="1"/>
              <w:shd w:val="clear" w:color="auto" w:fill="auto"/>
              <w:spacing w:after="0" w:line="274" w:lineRule="exact"/>
              <w:jc w:val="both"/>
            </w:pPr>
            <w:r>
              <w:t>утилизации</w:t>
            </w:r>
          </w:p>
          <w:p w:rsidR="001A08B7" w:rsidRDefault="00F659E6">
            <w:pPr>
              <w:pStyle w:val="4"/>
              <w:framePr w:wrap="notBeside" w:vAnchor="text" w:hAnchor="text" w:xAlign="center" w:y="1"/>
              <w:shd w:val="clear" w:color="auto" w:fill="auto"/>
              <w:spacing w:after="0" w:line="274" w:lineRule="exact"/>
              <w:jc w:val="center"/>
            </w:pPr>
            <w:r>
              <w:t>биологических</w:t>
            </w:r>
          </w:p>
          <w:p w:rsidR="001A08B7" w:rsidRDefault="00F659E6">
            <w:pPr>
              <w:pStyle w:val="4"/>
              <w:framePr w:wrap="notBeside" w:vAnchor="text" w:hAnchor="text" w:xAlign="center" w:y="1"/>
              <w:shd w:val="clear" w:color="auto" w:fill="auto"/>
              <w:spacing w:after="0" w:line="274" w:lineRule="exact"/>
              <w:jc w:val="both"/>
            </w:pPr>
            <w:r>
              <w:t>отходов</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40"/>
            </w:pPr>
            <w:r>
              <w:rPr>
                <w:rStyle w:val="31"/>
              </w:rPr>
              <w:t>Минимальные расстояния, м</w:t>
            </w: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rPr>
                <w:rStyle w:val="31"/>
              </w:rPr>
              <w:t>до жилых, общественных зданий, животноводческих ферм (комплексов)</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1000</w:t>
            </w:r>
          </w:p>
        </w:tc>
      </w:tr>
      <w:tr w:rsidR="001A08B7">
        <w:trPr>
          <w:trHeight w:val="288"/>
          <w:jc w:val="center"/>
        </w:trPr>
        <w:tc>
          <w:tcPr>
            <w:tcW w:w="10249"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2280"/>
              <w:jc w:val="left"/>
            </w:pPr>
            <w:r>
              <w:t>В области физической культуры и массового спорта</w:t>
            </w:r>
          </w:p>
        </w:tc>
      </w:tr>
      <w:tr w:rsidR="001A08B7">
        <w:trPr>
          <w:trHeight w:val="562"/>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Межпоселенческие спортивные сооружения (залы)</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тыс.кв. м</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3,5 на 10 тыс. человек</w:t>
            </w:r>
          </w:p>
        </w:tc>
      </w:tr>
      <w:tr w:rsidR="001A08B7">
        <w:trPr>
          <w:trHeight w:val="835"/>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Размер земельного</w:t>
            </w:r>
          </w:p>
          <w:p w:rsidR="001A08B7" w:rsidRDefault="00F659E6">
            <w:pPr>
              <w:pStyle w:val="4"/>
              <w:framePr w:wrap="notBeside" w:vAnchor="text" w:hAnchor="text" w:xAlign="center" w:y="1"/>
              <w:shd w:val="clear" w:color="auto" w:fill="auto"/>
              <w:spacing w:after="0" w:line="274" w:lineRule="exact"/>
              <w:ind w:left="140"/>
            </w:pPr>
            <w:r>
              <w:t>участка,</w:t>
            </w:r>
          </w:p>
          <w:p w:rsidR="001A08B7" w:rsidRDefault="00F659E6">
            <w:pPr>
              <w:pStyle w:val="4"/>
              <w:framePr w:wrap="notBeside" w:vAnchor="text" w:hAnchor="text" w:xAlign="center" w:y="1"/>
              <w:shd w:val="clear" w:color="auto" w:fill="auto"/>
              <w:spacing w:after="0" w:line="274" w:lineRule="exact"/>
              <w:ind w:left="140"/>
            </w:pPr>
            <w:r>
              <w:t>га</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0,7 -0,9 на 1 тыс.человек</w:t>
            </w:r>
          </w:p>
        </w:tc>
      </w:tr>
      <w:tr w:rsidR="001A08B7">
        <w:trPr>
          <w:trHeight w:val="562"/>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Межпоселенческие спортивные сооружения (стадионы)</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га/тыс.человек</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0,7</w:t>
            </w:r>
          </w:p>
        </w:tc>
      </w:tr>
      <w:tr w:rsidR="001A08B7">
        <w:trPr>
          <w:trHeight w:val="562"/>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40"/>
            </w:pPr>
            <w:r>
              <w:t>Размер земельного участка, кв. м</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По заданию на проектирование</w:t>
            </w:r>
          </w:p>
        </w:tc>
      </w:tr>
      <w:tr w:rsidR="001A08B7">
        <w:trPr>
          <w:trHeight w:val="840"/>
          <w:jc w:val="center"/>
        </w:trPr>
        <w:tc>
          <w:tcPr>
            <w:tcW w:w="10249"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rPr>
                <w:rStyle w:val="31"/>
              </w:rPr>
              <w:t>Примечание: физкультурно-спортивные сооружения сети общего пользования следует, как правило, объединять со спортивными объектами общеобразовательных школ и других учебных заведений, учреждений отдыха и культуры.</w:t>
            </w:r>
          </w:p>
        </w:tc>
      </w:tr>
      <w:tr w:rsidR="001A08B7">
        <w:trPr>
          <w:trHeight w:val="283"/>
          <w:jc w:val="center"/>
        </w:trPr>
        <w:tc>
          <w:tcPr>
            <w:tcW w:w="10249"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2580"/>
              <w:jc w:val="left"/>
            </w:pPr>
            <w:r>
              <w:t>В области электро- и газоснабжение населения</w:t>
            </w:r>
          </w:p>
        </w:tc>
      </w:tr>
      <w:tr w:rsidR="001A08B7">
        <w:trPr>
          <w:trHeight w:val="288"/>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Объекты электро- и газоснабжения населения</w:t>
            </w:r>
          </w:p>
        </w:tc>
        <w:tc>
          <w:tcPr>
            <w:tcW w:w="8151"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260"/>
              <w:jc w:val="left"/>
            </w:pPr>
            <w:r>
              <w:t>Газоснабжение</w:t>
            </w:r>
          </w:p>
        </w:tc>
      </w:tr>
      <w:tr w:rsidR="001A08B7">
        <w:trPr>
          <w:trHeight w:val="1944"/>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централизованной системой газоснабжения вне зон действия источников централизованного теплоснабжения, %</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100</w:t>
            </w:r>
          </w:p>
        </w:tc>
      </w:tr>
      <w:tr w:rsidR="001A08B7">
        <w:trPr>
          <w:trHeight w:val="283"/>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Размер земельного участка для размещения газонаполнительных станций в зависимости от производительности, га</w:t>
            </w: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при 10 тыс. т/год</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6,0</w:t>
            </w:r>
          </w:p>
        </w:tc>
      </w:tr>
      <w:tr w:rsidR="001A08B7">
        <w:trPr>
          <w:trHeight w:val="288"/>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при 20 тыс. т/год</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7,0</w:t>
            </w:r>
          </w:p>
        </w:tc>
      </w:tr>
      <w:tr w:rsidR="001A08B7">
        <w:trPr>
          <w:trHeight w:val="816"/>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при 40 тыс. т/год</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8,0</w:t>
            </w:r>
          </w:p>
        </w:tc>
      </w:tr>
      <w:tr w:rsidR="001A08B7">
        <w:trPr>
          <w:trHeight w:val="288"/>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8151"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060"/>
              <w:jc w:val="left"/>
            </w:pPr>
            <w:r>
              <w:t>Электроснабжение</w:t>
            </w:r>
          </w:p>
        </w:tc>
      </w:tr>
      <w:tr w:rsidR="001A08B7">
        <w:trPr>
          <w:trHeight w:val="845"/>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w:t>
            </w:r>
          </w:p>
          <w:p w:rsidR="001A08B7" w:rsidRDefault="00F659E6">
            <w:pPr>
              <w:pStyle w:val="4"/>
              <w:framePr w:wrap="notBeside" w:vAnchor="text" w:hAnchor="text" w:xAlign="center" w:y="1"/>
              <w:shd w:val="clear" w:color="auto" w:fill="auto"/>
              <w:spacing w:after="0" w:line="274" w:lineRule="exact"/>
              <w:ind w:left="140"/>
            </w:pPr>
            <w:r>
              <w:t>централизованной</w:t>
            </w:r>
          </w:p>
          <w:p w:rsidR="001A08B7" w:rsidRDefault="00F659E6">
            <w:pPr>
              <w:pStyle w:val="4"/>
              <w:framePr w:wrap="notBeside" w:vAnchor="text" w:hAnchor="text" w:xAlign="center" w:y="1"/>
              <w:shd w:val="clear" w:color="auto" w:fill="auto"/>
              <w:spacing w:after="0" w:line="274" w:lineRule="exact"/>
              <w:ind w:left="140"/>
            </w:pPr>
            <w:r>
              <w:t>системой</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100</w:t>
            </w:r>
          </w:p>
        </w:tc>
      </w:tr>
    </w:tbl>
    <w:p w:rsidR="001A08B7" w:rsidRDefault="001A08B7">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2098"/>
        <w:gridCol w:w="3010"/>
        <w:gridCol w:w="1843"/>
        <w:gridCol w:w="1416"/>
        <w:gridCol w:w="283"/>
        <w:gridCol w:w="1598"/>
      </w:tblGrid>
      <w:tr w:rsidR="001A08B7">
        <w:trPr>
          <w:trHeight w:val="1402"/>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pPr>
            <w:r>
              <w:t>ОМЗ муниципального района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Наименование расчетного показателя ОМЗ муниципального района, единица измерения</w:t>
            </w:r>
          </w:p>
        </w:tc>
        <w:tc>
          <w:tcPr>
            <w:tcW w:w="5140"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Значение расчетного показателя минимально допустимого уровня обеспеченности ОМЗ муниципального района</w:t>
            </w:r>
          </w:p>
        </w:tc>
      </w:tr>
      <w:tr w:rsidR="001A08B7">
        <w:trPr>
          <w:trHeight w:val="283"/>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электроснабжения, %</w:t>
            </w:r>
          </w:p>
        </w:tc>
        <w:tc>
          <w:tcPr>
            <w:tcW w:w="5140"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1114"/>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Размер земельного участка, отводимого для подстанций и переключательных пунктов, кв.м</w:t>
            </w:r>
          </w:p>
        </w:tc>
        <w:tc>
          <w:tcPr>
            <w:tcW w:w="325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трансформаторные подстанции с высшим напряжением от 6 кВ до 10 кВ</w:t>
            </w:r>
          </w:p>
        </w:tc>
        <w:tc>
          <w:tcPr>
            <w:tcW w:w="188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не более 150</w:t>
            </w:r>
          </w:p>
        </w:tc>
      </w:tr>
      <w:tr w:rsidR="001A08B7">
        <w:trPr>
          <w:trHeight w:val="840"/>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25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подстанции и переключательные пункты от 20 кВ до 35 кВ</w:t>
            </w:r>
          </w:p>
        </w:tc>
        <w:tc>
          <w:tcPr>
            <w:tcW w:w="188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не более 5000</w:t>
            </w:r>
          </w:p>
        </w:tc>
      </w:tr>
      <w:tr w:rsidR="001A08B7">
        <w:trPr>
          <w:trHeight w:val="283"/>
          <w:jc w:val="center"/>
        </w:trPr>
        <w:tc>
          <w:tcPr>
            <w:tcW w:w="10248" w:type="dxa"/>
            <w:gridSpan w:val="6"/>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500"/>
              <w:jc w:val="left"/>
            </w:pPr>
            <w:r>
              <w:t>В области автомобильных дорог местного значения вне границ населенных пунктов</w:t>
            </w:r>
          </w:p>
        </w:tc>
      </w:tr>
      <w:tr w:rsidR="001A08B7">
        <w:trPr>
          <w:trHeight w:val="288"/>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Автомобильные дороги местного значения вне границ населенных пунктов</w:t>
            </w:r>
          </w:p>
        </w:tc>
        <w:tc>
          <w:tcPr>
            <w:tcW w:w="3010"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Уровень автомобилизации населения по этапам, автомобилей, тыс. человек</w:t>
            </w:r>
          </w:p>
        </w:tc>
        <w:tc>
          <w:tcPr>
            <w:tcW w:w="325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I этап (до 2020 года)</w:t>
            </w:r>
          </w:p>
        </w:tc>
        <w:tc>
          <w:tcPr>
            <w:tcW w:w="188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300</w:t>
            </w:r>
          </w:p>
        </w:tc>
      </w:tr>
      <w:tr w:rsidR="001A08B7">
        <w:trPr>
          <w:trHeight w:val="55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25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II этап (до 2035 года)</w:t>
            </w:r>
          </w:p>
        </w:tc>
        <w:tc>
          <w:tcPr>
            <w:tcW w:w="188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350</w:t>
            </w:r>
          </w:p>
        </w:tc>
      </w:tr>
      <w:tr w:rsidR="001A08B7">
        <w:trPr>
          <w:trHeight w:val="56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8150" w:type="dxa"/>
            <w:gridSpan w:val="5"/>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pPr>
            <w:r>
              <w:t>Параметры автомобильных дорог в зависимости от категории и основного назначения дорог</w:t>
            </w:r>
          </w:p>
        </w:tc>
      </w:tr>
      <w:tr w:rsidR="001A08B7">
        <w:trPr>
          <w:trHeight w:val="288"/>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Категории дорог:</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620"/>
              <w:jc w:val="right"/>
            </w:pPr>
            <w:r>
              <w:t>III</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780"/>
            </w:pPr>
            <w:r>
              <w:t>IV</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V</w:t>
            </w:r>
          </w:p>
        </w:tc>
      </w:tr>
      <w:tr w:rsidR="001A08B7">
        <w:trPr>
          <w:trHeight w:val="56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Ширина полосы движения, м</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620"/>
              <w:jc w:val="right"/>
            </w:pPr>
            <w:r>
              <w:t>3,25-3,5</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460"/>
              <w:jc w:val="right"/>
            </w:pPr>
            <w:r>
              <w:t>3-3,25</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3,5-4,5</w:t>
            </w:r>
          </w:p>
        </w:tc>
      </w:tr>
      <w:tr w:rsidR="001A08B7">
        <w:trPr>
          <w:trHeight w:val="283"/>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Число полос движения</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840"/>
            </w:pPr>
            <w:r>
              <w:t>2</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780"/>
            </w:pPr>
            <w:r>
              <w:t>2</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1</w:t>
            </w:r>
          </w:p>
        </w:tc>
      </w:tr>
      <w:tr w:rsidR="001A08B7">
        <w:trPr>
          <w:trHeight w:val="288"/>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Ширина обочины, м</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620"/>
              <w:jc w:val="right"/>
            </w:pPr>
            <w:r>
              <w:t>2-2,5</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460"/>
              <w:jc w:val="right"/>
            </w:pPr>
            <w:r>
              <w:t>1,5-2</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1-1,75</w:t>
            </w:r>
          </w:p>
        </w:tc>
      </w:tr>
      <w:tr w:rsidR="001A08B7">
        <w:trPr>
          <w:trHeight w:val="835"/>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Пересечение с</w:t>
            </w:r>
          </w:p>
          <w:p w:rsidR="001A08B7" w:rsidRDefault="00F659E6">
            <w:pPr>
              <w:pStyle w:val="4"/>
              <w:framePr w:wrap="notBeside" w:vAnchor="text" w:hAnchor="text" w:xAlign="center" w:y="1"/>
              <w:shd w:val="clear" w:color="auto" w:fill="auto"/>
              <w:spacing w:after="0" w:line="274" w:lineRule="exact"/>
              <w:ind w:left="120"/>
            </w:pPr>
            <w:r>
              <w:t>автомобильными</w:t>
            </w:r>
          </w:p>
          <w:p w:rsidR="001A08B7" w:rsidRDefault="00F659E6">
            <w:pPr>
              <w:pStyle w:val="4"/>
              <w:framePr w:wrap="notBeside" w:vAnchor="text" w:hAnchor="text" w:xAlign="center" w:y="1"/>
              <w:shd w:val="clear" w:color="auto" w:fill="auto"/>
              <w:spacing w:after="0" w:line="274" w:lineRule="exact"/>
              <w:ind w:left="120"/>
            </w:pPr>
            <w:r>
              <w:t>дорогами</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220"/>
            </w:pPr>
            <w:r>
              <w:t>в одном уровне</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83" w:lineRule="exact"/>
              <w:ind w:right="460"/>
              <w:jc w:val="right"/>
            </w:pPr>
            <w:r>
              <w:t>в одном уровне</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83" w:lineRule="exact"/>
              <w:jc w:val="center"/>
            </w:pPr>
            <w:r>
              <w:t>в одном уровне</w:t>
            </w:r>
          </w:p>
        </w:tc>
      </w:tr>
      <w:tr w:rsidR="001A08B7">
        <w:trPr>
          <w:trHeight w:val="56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Пересечение с железными дорогами</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right="620"/>
              <w:jc w:val="right"/>
            </w:pPr>
            <w:r>
              <w:t>в разных уровнях</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right="460"/>
              <w:jc w:val="right"/>
            </w:pPr>
            <w:r>
              <w:t>в одном уровне</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jc w:val="center"/>
            </w:pPr>
            <w:r>
              <w:t>в одном уровне</w:t>
            </w:r>
          </w:p>
        </w:tc>
      </w:tr>
      <w:tr w:rsidR="001A08B7">
        <w:trPr>
          <w:trHeight w:val="840"/>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Доступ к дороге с примыкающих дорог в одном уровне</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220"/>
            </w:pPr>
            <w:r>
              <w:t>допускается</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460"/>
              <w:jc w:val="right"/>
            </w:pPr>
            <w:r>
              <w:t>допускается</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допускается</w:t>
            </w:r>
          </w:p>
        </w:tc>
      </w:tr>
      <w:tr w:rsidR="001A08B7">
        <w:trPr>
          <w:trHeight w:val="840"/>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Максимальный уровень загрузки дороги движением, единиц/ч</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620"/>
              <w:jc w:val="right"/>
            </w:pPr>
            <w:r>
              <w:t>0,7</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460"/>
              <w:jc w:val="right"/>
            </w:pPr>
            <w:r>
              <w:t>0,7</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0,7</w:t>
            </w:r>
          </w:p>
        </w:tc>
      </w:tr>
      <w:tr w:rsidR="001A08B7">
        <w:trPr>
          <w:trHeight w:val="56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Ширина одной придорожной полосы, м</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620"/>
              <w:jc w:val="right"/>
            </w:pPr>
            <w:r>
              <w:t>50</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780"/>
            </w:pPr>
            <w:r>
              <w:t>50</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25</w:t>
            </w:r>
          </w:p>
        </w:tc>
      </w:tr>
      <w:tr w:rsidR="001A08B7">
        <w:trPr>
          <w:trHeight w:val="562"/>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Размер земельного участка, кв.м</w:t>
            </w:r>
          </w:p>
        </w:tc>
        <w:tc>
          <w:tcPr>
            <w:tcW w:w="5140"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jc w:val="center"/>
            </w:pPr>
            <w:r>
              <w:t>Определятся по расчету, согласно Норм отвода земель для автомобильных дорог</w:t>
            </w:r>
          </w:p>
        </w:tc>
      </w:tr>
      <w:tr w:rsidR="001A08B7">
        <w:trPr>
          <w:trHeight w:val="283"/>
          <w:jc w:val="center"/>
        </w:trPr>
        <w:tc>
          <w:tcPr>
            <w:tcW w:w="10248" w:type="dxa"/>
            <w:gridSpan w:val="6"/>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20"/>
              <w:jc w:val="left"/>
            </w:pPr>
            <w:r>
              <w:t>Иные области в связи с решением вопросов местного значения муниципального района</w:t>
            </w:r>
          </w:p>
        </w:tc>
      </w:tr>
      <w:tr w:rsidR="001A08B7">
        <w:trPr>
          <w:trHeight w:val="562"/>
          <w:jc w:val="center"/>
        </w:trPr>
        <w:tc>
          <w:tcPr>
            <w:tcW w:w="10248" w:type="dxa"/>
            <w:gridSpan w:val="6"/>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120"/>
              <w:jc w:val="left"/>
            </w:pPr>
            <w:r>
              <w:t>В области транспортного сообщения</w:t>
            </w:r>
          </w:p>
        </w:tc>
      </w:tr>
      <w:tr w:rsidR="001A08B7">
        <w:trPr>
          <w:trHeight w:val="1114"/>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20"/>
            </w:pPr>
            <w:r>
              <w:t>Остановочные павильоны</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Уровень обеспеченности</w:t>
            </w:r>
          </w:p>
          <w:p w:rsidR="001A08B7" w:rsidRDefault="00F659E6">
            <w:pPr>
              <w:pStyle w:val="4"/>
              <w:framePr w:wrap="notBeside" w:vAnchor="text" w:hAnchor="text" w:xAlign="center" w:y="1"/>
              <w:shd w:val="clear" w:color="auto" w:fill="auto"/>
              <w:spacing w:after="0" w:line="274" w:lineRule="exact"/>
              <w:ind w:left="120"/>
            </w:pPr>
            <w:r>
              <w:t>транспортным</w:t>
            </w:r>
          </w:p>
          <w:p w:rsidR="001A08B7" w:rsidRDefault="00F659E6">
            <w:pPr>
              <w:pStyle w:val="4"/>
              <w:framePr w:wrap="notBeside" w:vAnchor="text" w:hAnchor="text" w:xAlign="center" w:y="1"/>
              <w:shd w:val="clear" w:color="auto" w:fill="auto"/>
              <w:spacing w:after="0" w:line="274" w:lineRule="exact"/>
              <w:ind w:left="120"/>
            </w:pPr>
            <w:r>
              <w:t>сообщением</w:t>
            </w:r>
          </w:p>
        </w:tc>
        <w:tc>
          <w:tcPr>
            <w:tcW w:w="5140"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100% обеспеченность населения транспортным сообщением, с размещением остановочных пунктов в населенных пунктах с интервалом 400-600 метров</w:t>
            </w:r>
          </w:p>
        </w:tc>
      </w:tr>
      <w:tr w:rsidR="001A08B7">
        <w:trPr>
          <w:trHeight w:val="840"/>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Размер земельного участка, для остановочных павильонов кв.м</w:t>
            </w:r>
          </w:p>
        </w:tc>
        <w:tc>
          <w:tcPr>
            <w:tcW w:w="5140"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По заданию на проектирование</w:t>
            </w:r>
          </w:p>
        </w:tc>
      </w:tr>
      <w:tr w:rsidR="001A08B7" w:rsidTr="0070541B">
        <w:trPr>
          <w:trHeight w:val="478"/>
          <w:jc w:val="center"/>
        </w:trPr>
        <w:tc>
          <w:tcPr>
            <w:tcW w:w="10248" w:type="dxa"/>
            <w:gridSpan w:val="6"/>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000"/>
              <w:jc w:val="left"/>
            </w:pPr>
            <w:r>
              <w:t>В области организации архивного дела</w:t>
            </w:r>
          </w:p>
        </w:tc>
      </w:tr>
    </w:tbl>
    <w:p w:rsidR="001A08B7" w:rsidRDefault="001A08B7">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2098"/>
        <w:gridCol w:w="2990"/>
        <w:gridCol w:w="3278"/>
        <w:gridCol w:w="1882"/>
      </w:tblGrid>
      <w:tr w:rsidR="001A08B7">
        <w:trPr>
          <w:trHeight w:val="322"/>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t>ОМЗ</w:t>
            </w:r>
          </w:p>
        </w:tc>
        <w:tc>
          <w:tcPr>
            <w:tcW w:w="2990" w:type="dxa"/>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860"/>
              <w:jc w:val="left"/>
            </w:pPr>
            <w:r>
              <w:t>Наименование</w:t>
            </w:r>
          </w:p>
        </w:tc>
        <w:tc>
          <w:tcPr>
            <w:tcW w:w="5160" w:type="dxa"/>
            <w:gridSpan w:val="2"/>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t>Значение расчетного показателя</w:t>
            </w:r>
          </w:p>
        </w:tc>
      </w:tr>
      <w:tr w:rsidR="001A08B7">
        <w:trPr>
          <w:trHeight w:val="571"/>
          <w:jc w:val="center"/>
        </w:trPr>
        <w:tc>
          <w:tcPr>
            <w:tcW w:w="2098"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83" w:lineRule="exact"/>
            </w:pPr>
            <w:r>
              <w:t>муниципального района</w:t>
            </w:r>
          </w:p>
        </w:tc>
        <w:tc>
          <w:tcPr>
            <w:tcW w:w="2990"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ind w:left="140"/>
              <w:jc w:val="left"/>
            </w:pPr>
            <w:r>
              <w:t>расчетного показателя ОМЗ муниципального</w:t>
            </w:r>
          </w:p>
        </w:tc>
        <w:tc>
          <w:tcPr>
            <w:tcW w:w="5160" w:type="dxa"/>
            <w:gridSpan w:val="2"/>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83" w:lineRule="exact"/>
            </w:pPr>
            <w:r>
              <w:t>минимально допустимого уровня обеспеченности</w:t>
            </w:r>
          </w:p>
        </w:tc>
      </w:tr>
      <w:tr w:rsidR="001A08B7">
        <w:trPr>
          <w:trHeight w:val="283"/>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2990"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620"/>
              <w:jc w:val="left"/>
            </w:pPr>
            <w:r>
              <w:t>района, единица</w:t>
            </w:r>
          </w:p>
        </w:tc>
        <w:tc>
          <w:tcPr>
            <w:tcW w:w="5160" w:type="dxa"/>
            <w:gridSpan w:val="2"/>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t>ОМЗ муниципального района</w:t>
            </w:r>
          </w:p>
        </w:tc>
      </w:tr>
      <w:tr w:rsidR="001A08B7">
        <w:trPr>
          <w:trHeight w:val="226"/>
          <w:jc w:val="center"/>
        </w:trPr>
        <w:tc>
          <w:tcPr>
            <w:tcW w:w="209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2990" w:type="dxa"/>
            <w:tcBorders>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860"/>
              <w:jc w:val="left"/>
            </w:pPr>
            <w:r>
              <w:t>измерения</w:t>
            </w:r>
          </w:p>
        </w:tc>
        <w:tc>
          <w:tcPr>
            <w:tcW w:w="3278" w:type="dxa"/>
            <w:tcBorders>
              <w:left w:val="single" w:sz="4" w:space="0" w:color="auto"/>
              <w:bottom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26"/>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Архив</w:t>
            </w:r>
          </w:p>
        </w:tc>
        <w:tc>
          <w:tcPr>
            <w:tcW w:w="299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Уровень обеспеченности,</w:t>
            </w:r>
          </w:p>
        </w:tc>
        <w:tc>
          <w:tcPr>
            <w:tcW w:w="3278" w:type="dxa"/>
            <w:tcBorders>
              <w:top w:val="single" w:sz="4" w:space="0" w:color="auto"/>
              <w:lef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 на муниципальный район, в</w:t>
            </w:r>
          </w:p>
        </w:tc>
        <w:tc>
          <w:tcPr>
            <w:tcW w:w="1882" w:type="dxa"/>
            <w:tcBorders>
              <w:top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78"/>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муниципального</w:t>
            </w:r>
          </w:p>
        </w:tc>
        <w:tc>
          <w:tcPr>
            <w:tcW w:w="2990"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объект</w:t>
            </w:r>
          </w:p>
        </w:tc>
        <w:tc>
          <w:tcPr>
            <w:tcW w:w="3278" w:type="dxa"/>
            <w:tcBorders>
              <w:lef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административном центре</w:t>
            </w:r>
          </w:p>
        </w:tc>
        <w:tc>
          <w:tcPr>
            <w:tcW w:w="1882" w:type="dxa"/>
            <w:tcBorders>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30"/>
          <w:jc w:val="center"/>
        </w:trPr>
        <w:tc>
          <w:tcPr>
            <w:tcW w:w="2098"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района</w:t>
            </w:r>
          </w:p>
        </w:tc>
        <w:tc>
          <w:tcPr>
            <w:tcW w:w="2990"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78" w:type="dxa"/>
            <w:tcBorders>
              <w:left w:val="single" w:sz="4" w:space="0" w:color="auto"/>
              <w:bottom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65"/>
          <w:jc w:val="center"/>
        </w:trPr>
        <w:tc>
          <w:tcPr>
            <w:tcW w:w="10248"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4260"/>
              <w:jc w:val="left"/>
            </w:pPr>
            <w:r>
              <w:t>В области связи</w:t>
            </w:r>
          </w:p>
        </w:tc>
      </w:tr>
      <w:tr w:rsidR="001A08B7">
        <w:trPr>
          <w:trHeight w:val="562"/>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Отделения связи</w:t>
            </w:r>
          </w:p>
        </w:tc>
        <w:tc>
          <w:tcPr>
            <w:tcW w:w="299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объект</w:t>
            </w:r>
          </w:p>
        </w:tc>
        <w:tc>
          <w:tcPr>
            <w:tcW w:w="5160"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00"/>
            </w:pPr>
            <w:r>
              <w:t>По заданию на проектирование</w:t>
            </w:r>
          </w:p>
        </w:tc>
      </w:tr>
      <w:tr w:rsidR="001A08B7">
        <w:trPr>
          <w:trHeight w:val="288"/>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299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Размер земельного</w:t>
            </w:r>
          </w:p>
        </w:tc>
        <w:tc>
          <w:tcPr>
            <w:tcW w:w="327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rPr>
                <w:lang w:val="en-US"/>
              </w:rPr>
              <w:t xml:space="preserve">V-VI </w:t>
            </w:r>
            <w:r>
              <w:t>(0,5-2 тыс.человек)</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0,3-0,35</w:t>
            </w:r>
          </w:p>
        </w:tc>
      </w:tr>
      <w:tr w:rsidR="001A08B7">
        <w:trPr>
          <w:trHeight w:val="283"/>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2990"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участка, га</w:t>
            </w:r>
          </w:p>
        </w:tc>
        <w:tc>
          <w:tcPr>
            <w:tcW w:w="327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rPr>
                <w:lang w:val="en-US"/>
              </w:rPr>
              <w:t xml:space="preserve">III-IV </w:t>
            </w:r>
            <w:r>
              <w:t>(2-6 тыс.человек)</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0,4-0,45</w:t>
            </w:r>
          </w:p>
        </w:tc>
      </w:tr>
      <w:tr w:rsidR="001A08B7">
        <w:trPr>
          <w:trHeight w:val="288"/>
          <w:jc w:val="center"/>
        </w:trPr>
        <w:tc>
          <w:tcPr>
            <w:tcW w:w="209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2990"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7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свыше 6 - 18 тыс.человек</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0,09-0,1</w:t>
            </w:r>
          </w:p>
        </w:tc>
      </w:tr>
      <w:tr w:rsidR="001A08B7">
        <w:trPr>
          <w:trHeight w:val="312"/>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Антенно-</w:t>
            </w:r>
          </w:p>
        </w:tc>
        <w:tc>
          <w:tcPr>
            <w:tcW w:w="299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Размер земельного</w:t>
            </w:r>
          </w:p>
        </w:tc>
        <w:tc>
          <w:tcPr>
            <w:tcW w:w="327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от 0,3</w:t>
            </w:r>
          </w:p>
        </w:tc>
        <w:tc>
          <w:tcPr>
            <w:tcW w:w="1882" w:type="dxa"/>
            <w:tcBorders>
              <w:top w:val="single" w:sz="4" w:space="0" w:color="auto"/>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93"/>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мачтовые</w:t>
            </w:r>
          </w:p>
        </w:tc>
        <w:tc>
          <w:tcPr>
            <w:tcW w:w="2990"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участка, га</w:t>
            </w:r>
          </w:p>
        </w:tc>
        <w:tc>
          <w:tcPr>
            <w:tcW w:w="327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35"/>
          <w:jc w:val="center"/>
        </w:trPr>
        <w:tc>
          <w:tcPr>
            <w:tcW w:w="2098"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сооружения</w:t>
            </w:r>
          </w:p>
        </w:tc>
        <w:tc>
          <w:tcPr>
            <w:tcW w:w="2990"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7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93"/>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Отделения и</w:t>
            </w:r>
          </w:p>
        </w:tc>
        <w:tc>
          <w:tcPr>
            <w:tcW w:w="299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Уровень обеспеченности,</w:t>
            </w:r>
          </w:p>
        </w:tc>
        <w:tc>
          <w:tcPr>
            <w:tcW w:w="3278" w:type="dxa"/>
            <w:tcBorders>
              <w:top w:val="single" w:sz="4" w:space="0" w:color="auto"/>
              <w:lef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 на 1-2 тыс.человек</w:t>
            </w:r>
          </w:p>
        </w:tc>
        <w:tc>
          <w:tcPr>
            <w:tcW w:w="1882" w:type="dxa"/>
            <w:tcBorders>
              <w:top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69"/>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филиалы банка,</w:t>
            </w:r>
          </w:p>
        </w:tc>
        <w:tc>
          <w:tcPr>
            <w:tcW w:w="2990"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операционная касса</w:t>
            </w:r>
          </w:p>
        </w:tc>
        <w:tc>
          <w:tcPr>
            <w:tcW w:w="3278" w:type="dxa"/>
            <w:tcBorders>
              <w:left w:val="single" w:sz="4" w:space="0" w:color="auto"/>
              <w:bottom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22"/>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операционное</w:t>
            </w:r>
          </w:p>
        </w:tc>
        <w:tc>
          <w:tcPr>
            <w:tcW w:w="299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Размер земельного</w:t>
            </w:r>
          </w:p>
        </w:tc>
        <w:tc>
          <w:tcPr>
            <w:tcW w:w="5160" w:type="dxa"/>
            <w:gridSpan w:val="2"/>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00"/>
            </w:pPr>
            <w:r>
              <w:t>0,05 - на 3 операционных кассы</w:t>
            </w:r>
          </w:p>
        </w:tc>
      </w:tr>
      <w:tr w:rsidR="001A08B7">
        <w:trPr>
          <w:trHeight w:val="250"/>
          <w:jc w:val="center"/>
        </w:trPr>
        <w:tc>
          <w:tcPr>
            <w:tcW w:w="2098"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место</w:t>
            </w:r>
          </w:p>
        </w:tc>
        <w:tc>
          <w:tcPr>
            <w:tcW w:w="2990"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участка, га</w:t>
            </w:r>
          </w:p>
        </w:tc>
        <w:tc>
          <w:tcPr>
            <w:tcW w:w="3278" w:type="dxa"/>
            <w:tcBorders>
              <w:left w:val="single" w:sz="4" w:space="0" w:color="auto"/>
              <w:bottom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bl>
    <w:p w:rsidR="001A08B7" w:rsidRPr="0070541B" w:rsidRDefault="001A08B7">
      <w:pPr>
        <w:spacing w:line="1320" w:lineRule="exact"/>
      </w:pPr>
    </w:p>
    <w:p w:rsidR="001A08B7" w:rsidRPr="00F72026" w:rsidRDefault="00F659E6">
      <w:pPr>
        <w:pStyle w:val="a8"/>
        <w:framePr w:wrap="notBeside" w:vAnchor="text" w:hAnchor="text" w:xAlign="center" w:y="1"/>
        <w:shd w:val="clear" w:color="auto" w:fill="auto"/>
        <w:jc w:val="center"/>
      </w:pPr>
      <w:r>
        <w:t>Таблица 2 Расчетные показатели максимально допустимого уровня территориальной доступн</w:t>
      </w:r>
      <w:r w:rsidR="00F72026">
        <w:t>ости объектов местного значения.</w:t>
      </w:r>
    </w:p>
    <w:tbl>
      <w:tblPr>
        <w:tblW w:w="0" w:type="auto"/>
        <w:jc w:val="center"/>
        <w:tblLayout w:type="fixed"/>
        <w:tblCellMar>
          <w:left w:w="10" w:type="dxa"/>
          <w:right w:w="10" w:type="dxa"/>
        </w:tblCellMar>
        <w:tblLook w:val="04A0" w:firstRow="1" w:lastRow="0" w:firstColumn="1" w:lastColumn="0" w:noHBand="0" w:noVBand="1"/>
      </w:tblPr>
      <w:tblGrid>
        <w:gridCol w:w="2198"/>
        <w:gridCol w:w="3019"/>
        <w:gridCol w:w="5170"/>
      </w:tblGrid>
      <w:tr w:rsidR="001A08B7">
        <w:trPr>
          <w:trHeight w:val="1118"/>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ОМЗ муниципального района</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Расчетные показатели ОМЗ муниципального района, единица измерения</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Значения расчетного показателя максимально допустимого уровня территориальной доступности ОМЗ муниципального района</w:t>
            </w:r>
          </w:p>
        </w:tc>
      </w:tr>
      <w:tr w:rsidR="001A08B7">
        <w:trPr>
          <w:trHeight w:val="283"/>
          <w:jc w:val="center"/>
        </w:trPr>
        <w:tc>
          <w:tcPr>
            <w:tcW w:w="10387"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2340"/>
              <w:jc w:val="left"/>
            </w:pPr>
            <w:r>
              <w:t>В области физической культуры и массового спорта</w:t>
            </w:r>
          </w:p>
        </w:tc>
      </w:tr>
      <w:tr w:rsidR="001A08B7">
        <w:trPr>
          <w:trHeight w:val="840"/>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Межпоселенчес</w:t>
            </w:r>
            <w:r>
              <w:softHyphen/>
              <w:t>кие спортивные сооружения</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Принимается по заданию на проектирование</w:t>
            </w:r>
          </w:p>
        </w:tc>
      </w:tr>
      <w:tr w:rsidR="001A08B7">
        <w:trPr>
          <w:trHeight w:val="298"/>
          <w:jc w:val="center"/>
        </w:trPr>
        <w:tc>
          <w:tcPr>
            <w:tcW w:w="10387"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2760"/>
              <w:jc w:val="left"/>
            </w:pPr>
            <w:r>
              <w:t>В области обеспечения услугами транспорта</w:t>
            </w:r>
          </w:p>
        </w:tc>
      </w:tr>
    </w:tbl>
    <w:p w:rsidR="001A08B7" w:rsidRDefault="001A08B7">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2194"/>
        <w:gridCol w:w="3024"/>
        <w:gridCol w:w="1728"/>
        <w:gridCol w:w="1704"/>
        <w:gridCol w:w="1738"/>
      </w:tblGrid>
      <w:tr w:rsidR="001A08B7">
        <w:trPr>
          <w:trHeight w:val="1123"/>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pPr>
            <w:r>
              <w:t>ОМЗ муниципального района</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Расчетные показатели ОМЗ муниципального района, единица измерения</w:t>
            </w:r>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Значения расчетного показателя максимально допустимого уровня территориальной доступности ОМЗ муниципального района</w:t>
            </w:r>
          </w:p>
        </w:tc>
      </w:tr>
      <w:tr w:rsidR="001A08B7">
        <w:trPr>
          <w:trHeight w:val="1838"/>
          <w:jc w:val="center"/>
        </w:trPr>
        <w:tc>
          <w:tcPr>
            <w:tcW w:w="2194"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Обеспеченность</w:t>
            </w:r>
          </w:p>
          <w:p w:rsidR="001A08B7" w:rsidRDefault="00F659E6">
            <w:pPr>
              <w:pStyle w:val="4"/>
              <w:framePr w:wrap="notBeside" w:vAnchor="text" w:hAnchor="text" w:xAlign="center" w:y="1"/>
              <w:shd w:val="clear" w:color="auto" w:fill="auto"/>
              <w:spacing w:after="0" w:line="274" w:lineRule="exact"/>
              <w:ind w:left="120"/>
            </w:pPr>
            <w:r>
              <w:t>услугами</w:t>
            </w:r>
          </w:p>
          <w:p w:rsidR="001A08B7" w:rsidRDefault="00F659E6">
            <w:pPr>
              <w:pStyle w:val="4"/>
              <w:framePr w:wrap="notBeside" w:vAnchor="text" w:hAnchor="text" w:xAlign="center" w:y="1"/>
              <w:shd w:val="clear" w:color="auto" w:fill="auto"/>
              <w:spacing w:after="0" w:line="274" w:lineRule="exact"/>
              <w:ind w:left="120"/>
            </w:pPr>
            <w:r>
              <w:t>транспорта</w:t>
            </w:r>
          </w:p>
        </w:tc>
        <w:tc>
          <w:tcPr>
            <w:tcW w:w="3024"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Дальность пешеходных подходов до ближайшей остановки общественного пассажирского транспорта, м</w:t>
            </w:r>
          </w:p>
        </w:tc>
        <w:tc>
          <w:tcPr>
            <w:tcW w:w="172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При</w:t>
            </w:r>
          </w:p>
          <w:p w:rsidR="001A08B7" w:rsidRDefault="00F659E6">
            <w:pPr>
              <w:pStyle w:val="4"/>
              <w:framePr w:wrap="notBeside" w:vAnchor="text" w:hAnchor="text" w:xAlign="center" w:y="1"/>
              <w:shd w:val="clear" w:color="auto" w:fill="auto"/>
              <w:spacing w:after="0" w:line="274" w:lineRule="exact"/>
              <w:ind w:left="120"/>
            </w:pPr>
            <w:r>
              <w:t>многоэтажной жилой застройке - 500 м</w:t>
            </w:r>
          </w:p>
        </w:tc>
        <w:tc>
          <w:tcPr>
            <w:tcW w:w="1704"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При</w:t>
            </w:r>
          </w:p>
          <w:p w:rsidR="001A08B7" w:rsidRDefault="00F659E6">
            <w:pPr>
              <w:pStyle w:val="4"/>
              <w:framePr w:wrap="notBeside" w:vAnchor="text" w:hAnchor="text" w:xAlign="center" w:y="1"/>
              <w:shd w:val="clear" w:color="auto" w:fill="auto"/>
              <w:spacing w:after="0" w:line="274" w:lineRule="exact"/>
              <w:ind w:left="120"/>
            </w:pPr>
            <w:r>
              <w:t>застройке индивидуальными жилыми домами - 600 до 800м</w:t>
            </w:r>
          </w:p>
        </w:tc>
        <w:tc>
          <w:tcPr>
            <w:tcW w:w="173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Дальность</w:t>
            </w:r>
          </w:p>
          <w:p w:rsidR="001A08B7" w:rsidRDefault="00F659E6">
            <w:pPr>
              <w:pStyle w:val="4"/>
              <w:framePr w:wrap="notBeside" w:vAnchor="text" w:hAnchor="text" w:xAlign="center" w:y="1"/>
              <w:shd w:val="clear" w:color="auto" w:fill="auto"/>
              <w:spacing w:after="0" w:line="274" w:lineRule="exact"/>
              <w:jc w:val="both"/>
            </w:pPr>
            <w:r>
              <w:t>пешеходных</w:t>
            </w:r>
          </w:p>
          <w:p w:rsidR="001A08B7" w:rsidRDefault="00F659E6">
            <w:pPr>
              <w:pStyle w:val="4"/>
              <w:framePr w:wrap="notBeside" w:vAnchor="text" w:hAnchor="text" w:xAlign="center" w:y="1"/>
              <w:shd w:val="clear" w:color="auto" w:fill="auto"/>
              <w:spacing w:after="0" w:line="274" w:lineRule="exact"/>
              <w:jc w:val="both"/>
            </w:pPr>
            <w:r>
              <w:t>подходов до</w:t>
            </w:r>
          </w:p>
          <w:p w:rsidR="001A08B7" w:rsidRDefault="00F659E6">
            <w:pPr>
              <w:pStyle w:val="4"/>
              <w:framePr w:wrap="notBeside" w:vAnchor="text" w:hAnchor="text" w:xAlign="center" w:y="1"/>
              <w:shd w:val="clear" w:color="auto" w:fill="auto"/>
              <w:spacing w:after="0" w:line="274" w:lineRule="exact"/>
              <w:jc w:val="both"/>
            </w:pPr>
            <w:r>
              <w:t>ближайшей</w:t>
            </w:r>
          </w:p>
          <w:p w:rsidR="001A08B7" w:rsidRDefault="00F659E6">
            <w:pPr>
              <w:pStyle w:val="4"/>
              <w:framePr w:wrap="notBeside" w:vAnchor="text" w:hAnchor="text" w:xAlign="center" w:y="1"/>
              <w:shd w:val="clear" w:color="auto" w:fill="auto"/>
              <w:spacing w:after="0" w:line="274" w:lineRule="exact"/>
              <w:jc w:val="both"/>
            </w:pPr>
            <w:r>
              <w:t>остановки</w:t>
            </w:r>
          </w:p>
          <w:p w:rsidR="001A08B7" w:rsidRDefault="00F659E6">
            <w:pPr>
              <w:pStyle w:val="4"/>
              <w:framePr w:wrap="notBeside" w:vAnchor="text" w:hAnchor="text" w:xAlign="center" w:y="1"/>
              <w:shd w:val="clear" w:color="auto" w:fill="auto"/>
              <w:spacing w:after="0" w:line="274" w:lineRule="exact"/>
              <w:jc w:val="both"/>
            </w:pPr>
            <w:r>
              <w:t>общественног</w:t>
            </w:r>
          </w:p>
          <w:p w:rsidR="001A08B7" w:rsidRDefault="00F659E6">
            <w:pPr>
              <w:pStyle w:val="4"/>
              <w:framePr w:wrap="notBeside" w:vAnchor="text" w:hAnchor="text" w:xAlign="center" w:y="1"/>
              <w:shd w:val="clear" w:color="auto" w:fill="auto"/>
              <w:spacing w:after="0" w:line="274" w:lineRule="exact"/>
              <w:jc w:val="both"/>
            </w:pPr>
            <w:r>
              <w:t>о</w:t>
            </w:r>
          </w:p>
          <w:p w:rsidR="001A08B7" w:rsidRDefault="00F659E6">
            <w:pPr>
              <w:pStyle w:val="4"/>
              <w:framePr w:wrap="notBeside" w:vAnchor="text" w:hAnchor="text" w:xAlign="center" w:y="1"/>
              <w:shd w:val="clear" w:color="auto" w:fill="auto"/>
              <w:spacing w:after="0" w:line="274" w:lineRule="exact"/>
              <w:ind w:left="120"/>
            </w:pPr>
            <w:r>
              <w:t>пассажирског о транспорта в зонах массового отдыха и спорта - 800 м</w:t>
            </w:r>
          </w:p>
        </w:tc>
      </w:tr>
      <w:tr w:rsidR="001A08B7">
        <w:trPr>
          <w:trHeight w:val="1762"/>
          <w:jc w:val="center"/>
        </w:trPr>
        <w:tc>
          <w:tcPr>
            <w:tcW w:w="2194"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24"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172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1704"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173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r>
      <w:tr w:rsidR="001A08B7">
        <w:trPr>
          <w:trHeight w:val="283"/>
          <w:jc w:val="center"/>
        </w:trPr>
        <w:tc>
          <w:tcPr>
            <w:tcW w:w="10388" w:type="dxa"/>
            <w:gridSpan w:val="5"/>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940"/>
              <w:jc w:val="left"/>
            </w:pPr>
            <w:r>
              <w:t>В области образования</w:t>
            </w:r>
          </w:p>
        </w:tc>
      </w:tr>
      <w:tr w:rsidR="001A08B7">
        <w:trPr>
          <w:trHeight w:val="288"/>
          <w:jc w:val="center"/>
        </w:trPr>
        <w:tc>
          <w:tcPr>
            <w:tcW w:w="2194"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Общеобразователь</w:t>
            </w:r>
          </w:p>
        </w:tc>
        <w:tc>
          <w:tcPr>
            <w:tcW w:w="3024"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Уровень территориальной</w:t>
            </w:r>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Пешеходная доступность</w:t>
            </w:r>
          </w:p>
        </w:tc>
      </w:tr>
      <w:tr w:rsidR="001A08B7">
        <w:trPr>
          <w:trHeight w:val="283"/>
          <w:jc w:val="center"/>
        </w:trPr>
        <w:tc>
          <w:tcPr>
            <w:tcW w:w="2194"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ные организации</w:t>
            </w:r>
          </w:p>
        </w:tc>
        <w:tc>
          <w:tcPr>
            <w:tcW w:w="3024"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доступности для</w:t>
            </w:r>
          </w:p>
        </w:tc>
        <w:tc>
          <w:tcPr>
            <w:tcW w:w="3432"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для 1 ступени обучения</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both"/>
            </w:pPr>
            <w:r>
              <w:t>не более 2000</w:t>
            </w:r>
          </w:p>
        </w:tc>
      </w:tr>
      <w:tr w:rsidR="001A08B7">
        <w:trPr>
          <w:trHeight w:val="288"/>
          <w:jc w:val="center"/>
        </w:trPr>
        <w:tc>
          <w:tcPr>
            <w:tcW w:w="2194"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24"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населения, м</w:t>
            </w:r>
          </w:p>
        </w:tc>
        <w:tc>
          <w:tcPr>
            <w:tcW w:w="3432"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для 2-3 ступени обучения</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both"/>
            </w:pPr>
            <w:r>
              <w:t>не более 4000</w:t>
            </w:r>
          </w:p>
        </w:tc>
      </w:tr>
      <w:tr w:rsidR="001A08B7">
        <w:trPr>
          <w:trHeight w:val="283"/>
          <w:jc w:val="center"/>
        </w:trPr>
        <w:tc>
          <w:tcPr>
            <w:tcW w:w="2194"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24"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Транспортная доступность</w:t>
            </w:r>
          </w:p>
        </w:tc>
      </w:tr>
      <w:tr w:rsidR="001A08B7">
        <w:trPr>
          <w:trHeight w:val="840"/>
          <w:jc w:val="center"/>
        </w:trPr>
        <w:tc>
          <w:tcPr>
            <w:tcW w:w="2194"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24"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432"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для 1 ступени обучения</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не более 15 мин в одну сторону</w:t>
            </w:r>
          </w:p>
        </w:tc>
      </w:tr>
      <w:tr w:rsidR="001A08B7">
        <w:trPr>
          <w:trHeight w:val="840"/>
          <w:jc w:val="center"/>
        </w:trPr>
        <w:tc>
          <w:tcPr>
            <w:tcW w:w="2194"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24"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432"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для 2-3 ступени обучения</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не более 30 мин в одну сторону</w:t>
            </w:r>
          </w:p>
        </w:tc>
      </w:tr>
      <w:tr w:rsidR="001A08B7">
        <w:trPr>
          <w:trHeight w:val="1387"/>
          <w:jc w:val="center"/>
        </w:trPr>
        <w:tc>
          <w:tcPr>
            <w:tcW w:w="10388" w:type="dxa"/>
            <w:gridSpan w:val="5"/>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 xml:space="preserve">Предельный радиус обслуживания обучающихся </w:t>
            </w:r>
            <w:r>
              <w:rPr>
                <w:lang w:val="en-US"/>
              </w:rPr>
              <w:t>II</w:t>
            </w:r>
            <w:r w:rsidRPr="00645CF8">
              <w:t>-</w:t>
            </w:r>
            <w:r>
              <w:rPr>
                <w:lang w:val="en-US"/>
              </w:rPr>
              <w:t>III</w:t>
            </w:r>
            <w:r>
              <w:t>ступеней не должен превышать 15 км. Транспортному обслуживанию подлежат учащиеся сельских общеобразовательных учреждений, проживающие на расстоянии свыше 1 км от учреждения. Подвоз учащихся осуществляется на транспорте, предназначенном для перевозки детей. Предельный пешеходный подход учащихся к месту сбора на остановке должен быть не более 500 м.</w:t>
            </w:r>
          </w:p>
        </w:tc>
      </w:tr>
      <w:tr w:rsidR="001A08B7">
        <w:trPr>
          <w:trHeight w:val="840"/>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Учреждения дополнительного образования детей</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10 км транспортная доступность</w:t>
            </w:r>
          </w:p>
        </w:tc>
      </w:tr>
      <w:tr w:rsidR="001A08B7">
        <w:trPr>
          <w:trHeight w:val="835"/>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Детские</w:t>
            </w:r>
          </w:p>
          <w:p w:rsidR="001A08B7" w:rsidRDefault="00F659E6">
            <w:pPr>
              <w:pStyle w:val="4"/>
              <w:framePr w:wrap="notBeside" w:vAnchor="text" w:hAnchor="text" w:xAlign="center" w:y="1"/>
              <w:shd w:val="clear" w:color="auto" w:fill="auto"/>
              <w:spacing w:after="0" w:line="274" w:lineRule="exact"/>
              <w:ind w:left="120"/>
            </w:pPr>
            <w:r>
              <w:t>дошкольные</w:t>
            </w:r>
          </w:p>
          <w:p w:rsidR="001A08B7" w:rsidRDefault="00F659E6">
            <w:pPr>
              <w:pStyle w:val="4"/>
              <w:framePr w:wrap="notBeside" w:vAnchor="text" w:hAnchor="text" w:xAlign="center" w:y="1"/>
              <w:shd w:val="clear" w:color="auto" w:fill="auto"/>
              <w:spacing w:after="0" w:line="274" w:lineRule="exact"/>
              <w:ind w:left="120"/>
            </w:pPr>
            <w:r>
              <w:t>организации</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500 м</w:t>
            </w:r>
          </w:p>
        </w:tc>
      </w:tr>
      <w:tr w:rsidR="001A08B7">
        <w:trPr>
          <w:trHeight w:val="288"/>
          <w:jc w:val="center"/>
        </w:trPr>
        <w:tc>
          <w:tcPr>
            <w:tcW w:w="10388" w:type="dxa"/>
            <w:gridSpan w:val="5"/>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700"/>
              <w:jc w:val="left"/>
            </w:pPr>
            <w:r>
              <w:t>В области здравоохранения</w:t>
            </w:r>
          </w:p>
        </w:tc>
      </w:tr>
      <w:tr w:rsidR="001A08B7">
        <w:trPr>
          <w:trHeight w:val="1114"/>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Фельдшерские или фельдшерско- акушерские пункты</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30-минутная транспортная доступность</w:t>
            </w:r>
          </w:p>
        </w:tc>
      </w:tr>
      <w:tr w:rsidR="001A08B7">
        <w:trPr>
          <w:trHeight w:val="840"/>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Станции скорой</w:t>
            </w:r>
          </w:p>
          <w:p w:rsidR="001A08B7" w:rsidRDefault="00F659E6">
            <w:pPr>
              <w:pStyle w:val="4"/>
              <w:framePr w:wrap="notBeside" w:vAnchor="text" w:hAnchor="text" w:xAlign="center" w:y="1"/>
              <w:shd w:val="clear" w:color="auto" w:fill="auto"/>
              <w:spacing w:after="0" w:line="274" w:lineRule="exact"/>
              <w:ind w:left="120"/>
            </w:pPr>
            <w:r>
              <w:t>медицинской</w:t>
            </w:r>
          </w:p>
          <w:p w:rsidR="001A08B7" w:rsidRDefault="00F659E6">
            <w:pPr>
              <w:pStyle w:val="4"/>
              <w:framePr w:wrap="notBeside" w:vAnchor="text" w:hAnchor="text" w:xAlign="center" w:y="1"/>
              <w:shd w:val="clear" w:color="auto" w:fill="auto"/>
              <w:spacing w:after="0" w:line="274" w:lineRule="exact"/>
              <w:ind w:left="120"/>
            </w:pPr>
            <w:r>
              <w:t>помощи</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15-минутная доступность на специальном автомобиле</w:t>
            </w:r>
          </w:p>
        </w:tc>
      </w:tr>
      <w:tr w:rsidR="001A08B7">
        <w:trPr>
          <w:trHeight w:val="1123"/>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Выдвижные пункты скорой медицинской помощи</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83" w:lineRule="exact"/>
              <w:ind w:left="120"/>
            </w:pPr>
            <w:r>
              <w:t>30-минутная доступность на специальном автомобиле</w:t>
            </w:r>
          </w:p>
        </w:tc>
      </w:tr>
    </w:tbl>
    <w:p w:rsidR="001A08B7" w:rsidRDefault="001A08B7">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2198"/>
        <w:gridCol w:w="3019"/>
        <w:gridCol w:w="5170"/>
      </w:tblGrid>
      <w:tr w:rsidR="001A08B7">
        <w:trPr>
          <w:trHeight w:val="1123"/>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pPr>
            <w:r>
              <w:t>ОМЗ муниципального района</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Расчетные показатели ОМЗ муниципального района, единица измерения</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Значения расчетного показателя максимально допустимого уровня территориальной доступности ОМЗ муниципального района</w:t>
            </w:r>
          </w:p>
        </w:tc>
      </w:tr>
      <w:tr w:rsidR="001A08B7">
        <w:trPr>
          <w:trHeight w:val="1666"/>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Поликлиники амбулатории, диспансеры без стационара, посещений в смену</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30-минутная транспортная доступность</w:t>
            </w:r>
          </w:p>
        </w:tc>
      </w:tr>
      <w:tr w:rsidR="001A08B7">
        <w:trPr>
          <w:trHeight w:val="1666"/>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Стационары для детей и взрослых для интенсивного лечения и кратковременного пребывания, коек</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30-минутная транспортная доступность</w:t>
            </w:r>
          </w:p>
        </w:tc>
      </w:tr>
      <w:tr w:rsidR="001A08B7">
        <w:trPr>
          <w:trHeight w:val="840"/>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Аптеки</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30-минутная транспортная доступность</w:t>
            </w:r>
          </w:p>
        </w:tc>
      </w:tr>
      <w:tr w:rsidR="001A08B7">
        <w:trPr>
          <w:trHeight w:val="283"/>
          <w:jc w:val="center"/>
        </w:trPr>
        <w:tc>
          <w:tcPr>
            <w:tcW w:w="10387"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4320"/>
              <w:jc w:val="left"/>
            </w:pPr>
            <w:r>
              <w:t>В области связи</w:t>
            </w:r>
          </w:p>
        </w:tc>
      </w:tr>
      <w:tr w:rsidR="001A08B7">
        <w:trPr>
          <w:trHeight w:val="840"/>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Отделения связи</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500</w:t>
            </w:r>
          </w:p>
        </w:tc>
      </w:tr>
      <w:tr w:rsidR="001A08B7">
        <w:trPr>
          <w:trHeight w:val="835"/>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83" w:lineRule="exact"/>
              <w:ind w:left="120"/>
            </w:pPr>
            <w:r>
              <w:t>Отделения и филиалы банков</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500</w:t>
            </w:r>
          </w:p>
        </w:tc>
      </w:tr>
      <w:tr w:rsidR="001A08B7">
        <w:trPr>
          <w:trHeight w:val="288"/>
          <w:jc w:val="center"/>
        </w:trPr>
        <w:tc>
          <w:tcPr>
            <w:tcW w:w="10387"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4080"/>
              <w:jc w:val="left"/>
            </w:pPr>
            <w:r>
              <w:t>В области культуры</w:t>
            </w:r>
          </w:p>
        </w:tc>
      </w:tr>
      <w:tr w:rsidR="001A08B7">
        <w:trPr>
          <w:trHeight w:val="840"/>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20"/>
            </w:pPr>
            <w:r>
              <w:t>Межпоселенчес</w:t>
            </w:r>
            <w:r>
              <w:softHyphen/>
              <w:t>кий дом культуры</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доступность не нормируется</w:t>
            </w:r>
          </w:p>
        </w:tc>
      </w:tr>
      <w:tr w:rsidR="001A08B7">
        <w:trPr>
          <w:trHeight w:val="835"/>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Межпоселенческая библиотека</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доступность не нормируется</w:t>
            </w:r>
          </w:p>
        </w:tc>
      </w:tr>
      <w:tr w:rsidR="001A08B7">
        <w:trPr>
          <w:trHeight w:val="1114"/>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Учреждения культуры с музейными помещениями</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доступность не нормируется</w:t>
            </w:r>
          </w:p>
        </w:tc>
      </w:tr>
      <w:tr w:rsidR="001A08B7">
        <w:trPr>
          <w:trHeight w:val="1114"/>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Учреждения культуры с выставочными помещениями</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доступность не нормируется</w:t>
            </w:r>
          </w:p>
        </w:tc>
      </w:tr>
      <w:tr w:rsidR="001A08B7">
        <w:trPr>
          <w:trHeight w:val="288"/>
          <w:jc w:val="center"/>
        </w:trPr>
        <w:tc>
          <w:tcPr>
            <w:tcW w:w="10387"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060"/>
              <w:jc w:val="left"/>
            </w:pPr>
            <w:r>
              <w:t>В области организации архивного дела</w:t>
            </w:r>
          </w:p>
        </w:tc>
      </w:tr>
      <w:tr w:rsidR="001A08B7">
        <w:trPr>
          <w:trHeight w:val="850"/>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Архив</w:t>
            </w:r>
          </w:p>
          <w:p w:rsidR="001A08B7" w:rsidRDefault="00F659E6">
            <w:pPr>
              <w:pStyle w:val="4"/>
              <w:framePr w:wrap="notBeside" w:vAnchor="text" w:hAnchor="text" w:xAlign="center" w:y="1"/>
              <w:shd w:val="clear" w:color="auto" w:fill="auto"/>
              <w:spacing w:after="0"/>
              <w:ind w:left="120"/>
            </w:pPr>
            <w:r>
              <w:t>муниципального района</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доступность не нормируется</w:t>
            </w:r>
          </w:p>
        </w:tc>
      </w:tr>
    </w:tbl>
    <w:p w:rsidR="001A08B7" w:rsidRDefault="001A08B7">
      <w:pPr>
        <w:rPr>
          <w:sz w:val="2"/>
          <w:szCs w:val="2"/>
        </w:rPr>
        <w:sectPr w:rsidR="001A08B7" w:rsidSect="0070541B">
          <w:footerReference w:type="default" r:id="rId8"/>
          <w:pgSz w:w="11905" w:h="16837"/>
          <w:pgMar w:top="568" w:right="477" w:bottom="426" w:left="1017" w:header="0" w:footer="0" w:gutter="0"/>
          <w:cols w:space="720"/>
          <w:noEndnote/>
          <w:docGrid w:linePitch="360"/>
        </w:sectPr>
      </w:pPr>
    </w:p>
    <w:p w:rsidR="001A08B7" w:rsidRDefault="00F659E6">
      <w:pPr>
        <w:pStyle w:val="10"/>
        <w:keepNext/>
        <w:keepLines/>
        <w:shd w:val="clear" w:color="auto" w:fill="auto"/>
        <w:spacing w:after="404" w:line="270" w:lineRule="exact"/>
        <w:ind w:left="1280"/>
      </w:pPr>
      <w:bookmarkStart w:id="3" w:name="bookmark3"/>
      <w:r>
        <w:rPr>
          <w:rStyle w:val="1135pt0"/>
        </w:rPr>
        <w:t>2</w:t>
      </w:r>
      <w:r>
        <w:t xml:space="preserve"> ПРАВИЛА И ОБЛАСТЬ ПРИМЕНЕНИЯ РАСЧЕТНЫХ ПОКАЗАТЕЛЕЙ</w:t>
      </w:r>
      <w:bookmarkEnd w:id="3"/>
    </w:p>
    <w:p w:rsidR="001A08B7" w:rsidRDefault="00F659E6">
      <w:pPr>
        <w:pStyle w:val="4"/>
        <w:shd w:val="clear" w:color="auto" w:fill="auto"/>
        <w:spacing w:after="56" w:line="312" w:lineRule="exact"/>
        <w:ind w:left="20" w:right="20" w:firstLine="560"/>
        <w:jc w:val="both"/>
      </w:pPr>
      <w:r>
        <w:t xml:space="preserve">Расчетные показатели допустимого уровня обеспеченности населения объектами местного значения муниципального района и расчетные показатели максимально допустимого уровня территориальной доступности таких объектов для населения </w:t>
      </w:r>
      <w:r w:rsidR="00523437">
        <w:t>муниципального образования</w:t>
      </w:r>
      <w:r w:rsidR="00F34AC6" w:rsidRPr="00523437">
        <w:t xml:space="preserve"> «</w:t>
      </w:r>
      <w:r w:rsidR="0066584E" w:rsidRPr="00523437">
        <w:t>Пыбьинское</w:t>
      </w:r>
      <w:r w:rsidR="00F34AC6" w:rsidRPr="00523437">
        <w:t>»</w:t>
      </w:r>
      <w:r w:rsidR="00752A16" w:rsidRPr="00523437">
        <w:t xml:space="preserve"> </w:t>
      </w:r>
      <w:r w:rsidR="00F34AC6" w:rsidRPr="00523437">
        <w:t>Балезинского</w:t>
      </w:r>
      <w:r w:rsidR="00F34AC6">
        <w:t xml:space="preserve"> района</w:t>
      </w:r>
      <w:r>
        <w:t>, установленные в нормативах градостроительного проектирования, применяются при подготовке схемы территориального планирования муниципального района, документации по планировке территории, генеральных планов и правил землепользования и застройки поселений, входящих в состав муниципального района.</w:t>
      </w:r>
    </w:p>
    <w:p w:rsidR="001A08B7" w:rsidRDefault="00F659E6">
      <w:pPr>
        <w:pStyle w:val="4"/>
        <w:shd w:val="clear" w:color="auto" w:fill="auto"/>
        <w:spacing w:after="0" w:line="317" w:lineRule="exact"/>
        <w:ind w:left="20" w:right="20" w:firstLine="560"/>
        <w:jc w:val="both"/>
      </w:pPr>
      <w: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плане соответствия её решений целям повышения качества жизни населения.</w:t>
      </w:r>
    </w:p>
    <w:p w:rsidR="001A08B7" w:rsidRDefault="00F659E6">
      <w:pPr>
        <w:pStyle w:val="4"/>
        <w:shd w:val="clear" w:color="auto" w:fill="auto"/>
        <w:spacing w:after="0" w:line="317" w:lineRule="exact"/>
        <w:ind w:left="20" w:right="20" w:firstLine="560"/>
        <w:jc w:val="both"/>
      </w:pPr>
      <w:r>
        <w:t xml:space="preserve">Расчетные показатели минимально допустимого уровня обеспеченности населения объектами местного значения муниципального района, установленные Нормативами градостроительного проектирования </w:t>
      </w:r>
      <w:r w:rsidR="00523437">
        <w:t xml:space="preserve">муниципального </w:t>
      </w:r>
      <w:r w:rsidR="00523437" w:rsidRPr="00523437">
        <w:t>образования</w:t>
      </w:r>
      <w:r w:rsidR="00581F99" w:rsidRPr="00523437">
        <w:t xml:space="preserve"> «</w:t>
      </w:r>
      <w:r w:rsidR="0066584E" w:rsidRPr="00523437">
        <w:t>Пыбьинское</w:t>
      </w:r>
      <w:r w:rsidR="00581F99" w:rsidRPr="00523437">
        <w:t>»</w:t>
      </w:r>
      <w:r w:rsidR="00752A16" w:rsidRPr="00523437">
        <w:t xml:space="preserve"> </w:t>
      </w:r>
      <w:r w:rsidR="00581F99" w:rsidRPr="00523437">
        <w:t>Балезинского</w:t>
      </w:r>
      <w:r w:rsidR="00581F99">
        <w:t xml:space="preserve"> района</w:t>
      </w:r>
      <w:r>
        <w:t>, не могут быть ниже предельных значений расчетных показателей минимально допустимого уровня обеспеченности объекта</w:t>
      </w:r>
      <w:r w:rsidR="00581F99">
        <w:t xml:space="preserve">ми местного значения населения. </w:t>
      </w:r>
      <w:r>
        <w:t xml:space="preserve">Если, в случае внесения изменений в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обеспеченности объектами местного значения, установленными местными нормативами градостроительного проектирования, то применяются расчетные показатели НГП </w:t>
      </w:r>
      <w:r w:rsidR="00523437">
        <w:t xml:space="preserve">муниципального образования </w:t>
      </w:r>
      <w:r w:rsidR="00581F99">
        <w:t xml:space="preserve"> </w:t>
      </w:r>
      <w:r w:rsidR="00581F99" w:rsidRPr="00523437">
        <w:t>«</w:t>
      </w:r>
      <w:r w:rsidR="0066584E" w:rsidRPr="00523437">
        <w:t>Пыбьинское</w:t>
      </w:r>
      <w:r w:rsidR="00581F99" w:rsidRPr="00523437">
        <w:t>»</w:t>
      </w:r>
      <w:r w:rsidR="00523437">
        <w:t xml:space="preserve"> </w:t>
      </w:r>
      <w:r w:rsidR="00581F99">
        <w:t>Балезинского района</w:t>
      </w:r>
      <w:r>
        <w:t>, а также показатели нормативных правовых актов Российской Федерации.</w:t>
      </w:r>
    </w:p>
    <w:p w:rsidR="001A08B7" w:rsidRDefault="00F659E6">
      <w:pPr>
        <w:pStyle w:val="4"/>
        <w:shd w:val="clear" w:color="auto" w:fill="auto"/>
        <w:spacing w:after="0" w:line="317" w:lineRule="exact"/>
        <w:ind w:left="20" w:right="20" w:firstLine="560"/>
        <w:jc w:val="both"/>
      </w:pPr>
      <w:r>
        <w:t xml:space="preserve">Расчетные показатели максимально допустимого уровня территориальной доступности для населения объектов местного значения муниципального района, установленные Нормативами градостроительного проектирования </w:t>
      </w:r>
      <w:r w:rsidR="00523437">
        <w:t xml:space="preserve">муниципального образования </w:t>
      </w:r>
      <w:r w:rsidR="00581F99">
        <w:t xml:space="preserve"> </w:t>
      </w:r>
      <w:r w:rsidR="00581F99" w:rsidRPr="00523437">
        <w:t>«</w:t>
      </w:r>
      <w:r w:rsidR="0066584E" w:rsidRPr="00523437">
        <w:t>Пыбьинское</w:t>
      </w:r>
      <w:r w:rsidR="00581F99" w:rsidRPr="00523437">
        <w:t>»</w:t>
      </w:r>
      <w:r w:rsidR="00581F99" w:rsidRPr="0070541B">
        <w:rPr>
          <w:shd w:val="clear" w:color="auto" w:fill="FFFF00"/>
        </w:rPr>
        <w:t xml:space="preserve"> </w:t>
      </w:r>
      <w:r w:rsidR="00581F99">
        <w:t>Балезинского района</w:t>
      </w:r>
      <w:r>
        <w:t>, не могут превышать предельные значения расчетных показателей максимально допустимого уровня территориальной доступности для населе</w:t>
      </w:r>
      <w:r w:rsidR="00581F99">
        <w:t>ния объектов местного значения.</w:t>
      </w:r>
      <w:r w:rsidR="00523437">
        <w:t xml:space="preserve"> </w:t>
      </w:r>
      <w:r>
        <w:t xml:space="preserve">В случае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муниципального района, станут ниже расчетных показателей максимально допустимого уровня территориальной доступности объектов местного, установленных нормативами градостроительного проектирования </w:t>
      </w:r>
      <w:r w:rsidR="00523437">
        <w:t xml:space="preserve">муниципального образования </w:t>
      </w:r>
      <w:r w:rsidR="00581F99">
        <w:t xml:space="preserve"> </w:t>
      </w:r>
      <w:r w:rsidR="00581F99" w:rsidRPr="00523437">
        <w:t>«</w:t>
      </w:r>
      <w:r w:rsidR="0066584E" w:rsidRPr="00523437">
        <w:t>Пыбьинское</w:t>
      </w:r>
      <w:r w:rsidR="00581F99" w:rsidRPr="00523437">
        <w:t>»</w:t>
      </w:r>
      <w:r w:rsidR="00752A16" w:rsidRPr="00523437">
        <w:t xml:space="preserve"> </w:t>
      </w:r>
      <w:r w:rsidR="00581F99" w:rsidRPr="00523437">
        <w:t>Балезинского</w:t>
      </w:r>
      <w:r w:rsidR="00581F99">
        <w:t xml:space="preserve"> района</w:t>
      </w:r>
      <w:r>
        <w:t xml:space="preserve">, то применяются расчетные показатели НГП </w:t>
      </w:r>
      <w:r w:rsidR="00523437">
        <w:t>муниципального образования</w:t>
      </w:r>
      <w:r w:rsidR="00581F99">
        <w:t xml:space="preserve"> </w:t>
      </w:r>
      <w:r w:rsidR="00581F99" w:rsidRPr="00523437">
        <w:t>«</w:t>
      </w:r>
      <w:r w:rsidR="0066584E" w:rsidRPr="00523437">
        <w:t>Пыбьинское</w:t>
      </w:r>
      <w:r w:rsidR="00581F99" w:rsidRPr="00523437">
        <w:t>»</w:t>
      </w:r>
      <w:r w:rsidR="00752A16" w:rsidRPr="00523437">
        <w:t xml:space="preserve"> </w:t>
      </w:r>
      <w:r w:rsidR="00581F99">
        <w:t>Балезинского района</w:t>
      </w:r>
      <w:r>
        <w:t>, а также показатели нормативных правовых актов Российской Федерации.</w:t>
      </w:r>
    </w:p>
    <w:sectPr w:rsidR="001A08B7" w:rsidSect="00E5073B">
      <w:footerReference w:type="default" r:id="rId9"/>
      <w:pgSz w:w="11905" w:h="16837"/>
      <w:pgMar w:top="996" w:right="477" w:bottom="1238" w:left="1017"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7949" w:rsidRDefault="00E97949">
      <w:r>
        <w:separator/>
      </w:r>
    </w:p>
  </w:endnote>
  <w:endnote w:type="continuationSeparator" w:id="0">
    <w:p w:rsidR="00E97949" w:rsidRDefault="00E97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F5E" w:rsidRDefault="00B84A73">
    <w:pPr>
      <w:pStyle w:val="a6"/>
      <w:framePr w:h="216" w:wrap="none" w:vAnchor="text" w:hAnchor="page" w:x="11134" w:y="-493"/>
      <w:shd w:val="clear" w:color="auto" w:fill="auto"/>
      <w:jc w:val="both"/>
    </w:pPr>
    <w:r>
      <w:fldChar w:fldCharType="begin"/>
    </w:r>
    <w:r w:rsidR="00A73F5E">
      <w:instrText xml:space="preserve"> PAGE \* MERGEFORMAT </w:instrText>
    </w:r>
    <w:r>
      <w:fldChar w:fldCharType="separate"/>
    </w:r>
    <w:r w:rsidR="00523437" w:rsidRPr="00523437">
      <w:rPr>
        <w:rStyle w:val="11pt"/>
        <w:noProof/>
      </w:rPr>
      <w:t>4</w:t>
    </w:r>
    <w:r>
      <w:rPr>
        <w:rStyle w:val="11pt"/>
      </w:rPr>
      <w:fldChar w:fldCharType="end"/>
    </w:r>
  </w:p>
  <w:p w:rsidR="00A73F5E" w:rsidRDefault="00A73F5E">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F5E" w:rsidRDefault="00B84A73">
    <w:pPr>
      <w:pStyle w:val="a6"/>
      <w:framePr w:w="12028" w:h="158" w:wrap="none" w:vAnchor="text" w:hAnchor="page" w:x="-60" w:y="-1564"/>
      <w:shd w:val="clear" w:color="auto" w:fill="auto"/>
      <w:ind w:left="11126"/>
    </w:pPr>
    <w:r>
      <w:fldChar w:fldCharType="begin"/>
    </w:r>
    <w:r w:rsidR="00A73F5E">
      <w:instrText xml:space="preserve"> PAGE \* MERGEFORMAT </w:instrText>
    </w:r>
    <w:r>
      <w:fldChar w:fldCharType="separate"/>
    </w:r>
    <w:r w:rsidR="00523437" w:rsidRPr="00523437">
      <w:rPr>
        <w:rStyle w:val="11pt"/>
        <w:noProof/>
      </w:rPr>
      <w:t>12</w:t>
    </w:r>
    <w:r>
      <w:rPr>
        <w:rStyle w:val="11pt"/>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7949" w:rsidRDefault="00E97949"/>
  </w:footnote>
  <w:footnote w:type="continuationSeparator" w:id="0">
    <w:p w:rsidR="00E97949" w:rsidRDefault="00E9794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785D6D"/>
    <w:multiLevelType w:val="multilevel"/>
    <w:tmpl w:val="EDD23F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8B7"/>
    <w:rsid w:val="000837A7"/>
    <w:rsid w:val="000F6F76"/>
    <w:rsid w:val="001A08B7"/>
    <w:rsid w:val="003D0790"/>
    <w:rsid w:val="004044E3"/>
    <w:rsid w:val="00482229"/>
    <w:rsid w:val="00523437"/>
    <w:rsid w:val="00581F99"/>
    <w:rsid w:val="00584BCF"/>
    <w:rsid w:val="00587E6B"/>
    <w:rsid w:val="00645CF8"/>
    <w:rsid w:val="0066584E"/>
    <w:rsid w:val="0070541B"/>
    <w:rsid w:val="0072273B"/>
    <w:rsid w:val="00752A16"/>
    <w:rsid w:val="009B4223"/>
    <w:rsid w:val="00A73F5E"/>
    <w:rsid w:val="00B27966"/>
    <w:rsid w:val="00B84A73"/>
    <w:rsid w:val="00E24A44"/>
    <w:rsid w:val="00E5073B"/>
    <w:rsid w:val="00E75CF4"/>
    <w:rsid w:val="00E97949"/>
    <w:rsid w:val="00F34AC6"/>
    <w:rsid w:val="00F659E6"/>
    <w:rsid w:val="00F7202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a4">
    <w:name w:val="Основной текст_"/>
    <w:basedOn w:val="a0"/>
    <w:link w:val="4"/>
    <w:rPr>
      <w:rFonts w:ascii="Times New Roman" w:eastAsia="Times New Roman" w:hAnsi="Times New Roman" w:cs="Times New Roman"/>
      <w:b w:val="0"/>
      <w:bCs w:val="0"/>
      <w:i w:val="0"/>
      <w:iCs w:val="0"/>
      <w:smallCaps w:val="0"/>
      <w:strike w:val="0"/>
      <w:spacing w:val="0"/>
      <w:sz w:val="23"/>
      <w:szCs w:val="23"/>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3"/>
      <w:szCs w:val="23"/>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23"/>
      <w:szCs w:val="23"/>
    </w:rPr>
  </w:style>
  <w:style w:type="character" w:customStyle="1" w:styleId="1135pt">
    <w:name w:val="Заголовок №1 + 13;5 pt"/>
    <w:basedOn w:val="1"/>
    <w:rPr>
      <w:rFonts w:ascii="Times New Roman" w:eastAsia="Times New Roman" w:hAnsi="Times New Roman" w:cs="Times New Roman"/>
      <w:b w:val="0"/>
      <w:bCs w:val="0"/>
      <w:i w:val="0"/>
      <w:iCs w:val="0"/>
      <w:smallCaps w:val="0"/>
      <w:strike w:val="0"/>
      <w:spacing w:val="0"/>
      <w:sz w:val="27"/>
      <w:szCs w:val="27"/>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11pt">
    <w:name w:val="Колонтитул + 11 pt"/>
    <w:basedOn w:val="a5"/>
    <w:rPr>
      <w:rFonts w:ascii="Times New Roman" w:eastAsia="Times New Roman" w:hAnsi="Times New Roman" w:cs="Times New Roman"/>
      <w:b w:val="0"/>
      <w:bCs w:val="0"/>
      <w:i w:val="0"/>
      <w:iCs w:val="0"/>
      <w:smallCaps w:val="0"/>
      <w:strike w:val="0"/>
      <w:spacing w:val="0"/>
      <w:sz w:val="22"/>
      <w:szCs w:val="22"/>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0"/>
      <w:szCs w:val="20"/>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spacing w:val="0"/>
      <w:sz w:val="23"/>
      <w:szCs w:val="23"/>
    </w:rPr>
  </w:style>
  <w:style w:type="character" w:customStyle="1" w:styleId="22">
    <w:name w:val="Основной текст2"/>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40">
    <w:name w:val="Основной текст (4)_"/>
    <w:basedOn w:val="a0"/>
    <w:link w:val="41"/>
    <w:rPr>
      <w:rFonts w:ascii="Tahoma" w:eastAsia="Tahoma" w:hAnsi="Tahoma" w:cs="Tahoma"/>
      <w:b w:val="0"/>
      <w:bCs w:val="0"/>
      <w:i w:val="0"/>
      <w:iCs w:val="0"/>
      <w:smallCaps w:val="0"/>
      <w:strike w:val="0"/>
      <w:spacing w:val="0"/>
      <w:sz w:val="18"/>
      <w:szCs w:val="18"/>
    </w:rPr>
  </w:style>
  <w:style w:type="character" w:customStyle="1" w:styleId="42">
    <w:name w:val="Основной текст (4)"/>
    <w:basedOn w:val="40"/>
    <w:rPr>
      <w:rFonts w:ascii="Tahoma" w:eastAsia="Tahoma" w:hAnsi="Tahoma" w:cs="Tahoma"/>
      <w:b w:val="0"/>
      <w:bCs w:val="0"/>
      <w:i w:val="0"/>
      <w:iCs w:val="0"/>
      <w:smallCaps w:val="0"/>
      <w:strike w:val="0"/>
      <w:spacing w:val="0"/>
      <w:sz w:val="18"/>
      <w:szCs w:val="18"/>
    </w:rPr>
  </w:style>
  <w:style w:type="character" w:customStyle="1" w:styleId="31">
    <w:name w:val="Основной текст3"/>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a7">
    <w:name w:val="Подпись к таблице_"/>
    <w:basedOn w:val="a0"/>
    <w:link w:val="a8"/>
    <w:rPr>
      <w:rFonts w:ascii="Times New Roman" w:eastAsia="Times New Roman" w:hAnsi="Times New Roman" w:cs="Times New Roman"/>
      <w:b w:val="0"/>
      <w:bCs w:val="0"/>
      <w:i w:val="0"/>
      <w:iCs w:val="0"/>
      <w:smallCaps w:val="0"/>
      <w:strike w:val="0"/>
      <w:spacing w:val="0"/>
      <w:sz w:val="23"/>
      <w:szCs w:val="23"/>
    </w:rPr>
  </w:style>
  <w:style w:type="character" w:customStyle="1" w:styleId="1135pt0">
    <w:name w:val="Заголовок №1 + 13;5 pt"/>
    <w:basedOn w:val="1"/>
    <w:rPr>
      <w:rFonts w:ascii="Times New Roman" w:eastAsia="Times New Roman" w:hAnsi="Times New Roman" w:cs="Times New Roman"/>
      <w:b w:val="0"/>
      <w:bCs w:val="0"/>
      <w:i w:val="0"/>
      <w:iCs w:val="0"/>
      <w:smallCaps w:val="0"/>
      <w:strike w:val="0"/>
      <w:spacing w:val="0"/>
      <w:sz w:val="27"/>
      <w:szCs w:val="27"/>
    </w:rPr>
  </w:style>
  <w:style w:type="paragraph" w:customStyle="1" w:styleId="4">
    <w:name w:val="Основной текст4"/>
    <w:basedOn w:val="a"/>
    <w:link w:val="a4"/>
    <w:pPr>
      <w:shd w:val="clear" w:color="auto" w:fill="FFFFFF"/>
      <w:spacing w:after="2700" w:line="278" w:lineRule="exact"/>
    </w:pPr>
    <w:rPr>
      <w:rFonts w:ascii="Times New Roman" w:eastAsia="Times New Roman" w:hAnsi="Times New Roman" w:cs="Times New Roman"/>
      <w:sz w:val="23"/>
      <w:szCs w:val="23"/>
    </w:rPr>
  </w:style>
  <w:style w:type="paragraph" w:customStyle="1" w:styleId="20">
    <w:name w:val="Основной текст (2)"/>
    <w:basedOn w:val="a"/>
    <w:link w:val="2"/>
    <w:pPr>
      <w:shd w:val="clear" w:color="auto" w:fill="FFFFFF"/>
      <w:spacing w:before="2700" w:after="8520" w:line="278" w:lineRule="exact"/>
      <w:jc w:val="center"/>
    </w:pPr>
    <w:rPr>
      <w:rFonts w:ascii="Times New Roman" w:eastAsia="Times New Roman" w:hAnsi="Times New Roman" w:cs="Times New Roman"/>
      <w:b/>
      <w:bCs/>
      <w:sz w:val="23"/>
      <w:szCs w:val="23"/>
    </w:rPr>
  </w:style>
  <w:style w:type="paragraph" w:customStyle="1" w:styleId="10">
    <w:name w:val="Заголовок №1"/>
    <w:basedOn w:val="a"/>
    <w:link w:val="1"/>
    <w:pPr>
      <w:shd w:val="clear" w:color="auto" w:fill="FFFFFF"/>
      <w:spacing w:line="0" w:lineRule="atLeast"/>
      <w:outlineLvl w:val="0"/>
    </w:pPr>
    <w:rPr>
      <w:rFonts w:ascii="Times New Roman" w:eastAsia="Times New Roman" w:hAnsi="Times New Roman" w:cs="Times New Roman"/>
      <w:b/>
      <w:bCs/>
      <w:sz w:val="23"/>
      <w:szCs w:val="23"/>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Основной текст (3)"/>
    <w:basedOn w:val="a"/>
    <w:link w:val="3"/>
    <w:pPr>
      <w:shd w:val="clear" w:color="auto" w:fill="FFFFFF"/>
      <w:spacing w:line="0" w:lineRule="atLeast"/>
    </w:pPr>
    <w:rPr>
      <w:rFonts w:ascii="Times New Roman" w:eastAsia="Times New Roman" w:hAnsi="Times New Roman" w:cs="Times New Roman"/>
      <w:sz w:val="20"/>
      <w:szCs w:val="20"/>
    </w:rPr>
  </w:style>
  <w:style w:type="paragraph" w:customStyle="1" w:styleId="41">
    <w:name w:val="Основной текст (4)"/>
    <w:basedOn w:val="a"/>
    <w:link w:val="40"/>
    <w:pPr>
      <w:shd w:val="clear" w:color="auto" w:fill="FFFFFF"/>
      <w:spacing w:line="0" w:lineRule="atLeast"/>
    </w:pPr>
    <w:rPr>
      <w:rFonts w:ascii="Tahoma" w:eastAsia="Tahoma" w:hAnsi="Tahoma" w:cs="Tahoma"/>
      <w:sz w:val="18"/>
      <w:szCs w:val="18"/>
    </w:rPr>
  </w:style>
  <w:style w:type="paragraph" w:customStyle="1" w:styleId="a8">
    <w:name w:val="Подпись к таблице"/>
    <w:basedOn w:val="a"/>
    <w:link w:val="a7"/>
    <w:pPr>
      <w:shd w:val="clear" w:color="auto" w:fill="FFFFFF"/>
      <w:spacing w:line="278" w:lineRule="exact"/>
      <w:jc w:val="both"/>
    </w:pPr>
    <w:rPr>
      <w:rFonts w:ascii="Times New Roman" w:eastAsia="Times New Roman" w:hAnsi="Times New Roman" w:cs="Times New Roman"/>
      <w:b/>
      <w:bCs/>
      <w:sz w:val="23"/>
      <w:szCs w:val="23"/>
    </w:rPr>
  </w:style>
  <w:style w:type="paragraph" w:styleId="a9">
    <w:name w:val="header"/>
    <w:basedOn w:val="a"/>
    <w:link w:val="aa"/>
    <w:uiPriority w:val="99"/>
    <w:unhideWhenUsed/>
    <w:rsid w:val="00581F99"/>
    <w:pPr>
      <w:tabs>
        <w:tab w:val="center" w:pos="4677"/>
        <w:tab w:val="right" w:pos="9355"/>
      </w:tabs>
    </w:pPr>
  </w:style>
  <w:style w:type="character" w:customStyle="1" w:styleId="aa">
    <w:name w:val="Верхний колонтитул Знак"/>
    <w:basedOn w:val="a0"/>
    <w:link w:val="a9"/>
    <w:uiPriority w:val="99"/>
    <w:rsid w:val="00581F99"/>
    <w:rPr>
      <w:color w:val="000000"/>
    </w:rPr>
  </w:style>
  <w:style w:type="paragraph" w:styleId="ab">
    <w:name w:val="footer"/>
    <w:basedOn w:val="a"/>
    <w:link w:val="ac"/>
    <w:uiPriority w:val="99"/>
    <w:unhideWhenUsed/>
    <w:rsid w:val="00581F99"/>
    <w:pPr>
      <w:tabs>
        <w:tab w:val="center" w:pos="4677"/>
        <w:tab w:val="right" w:pos="9355"/>
      </w:tabs>
    </w:pPr>
  </w:style>
  <w:style w:type="character" w:customStyle="1" w:styleId="ac">
    <w:name w:val="Нижний колонтитул Знак"/>
    <w:basedOn w:val="a0"/>
    <w:link w:val="ab"/>
    <w:uiPriority w:val="99"/>
    <w:rsid w:val="00581F99"/>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a4">
    <w:name w:val="Основной текст_"/>
    <w:basedOn w:val="a0"/>
    <w:link w:val="4"/>
    <w:rPr>
      <w:rFonts w:ascii="Times New Roman" w:eastAsia="Times New Roman" w:hAnsi="Times New Roman" w:cs="Times New Roman"/>
      <w:b w:val="0"/>
      <w:bCs w:val="0"/>
      <w:i w:val="0"/>
      <w:iCs w:val="0"/>
      <w:smallCaps w:val="0"/>
      <w:strike w:val="0"/>
      <w:spacing w:val="0"/>
      <w:sz w:val="23"/>
      <w:szCs w:val="23"/>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3"/>
      <w:szCs w:val="23"/>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23"/>
      <w:szCs w:val="23"/>
    </w:rPr>
  </w:style>
  <w:style w:type="character" w:customStyle="1" w:styleId="1135pt">
    <w:name w:val="Заголовок №1 + 13;5 pt"/>
    <w:basedOn w:val="1"/>
    <w:rPr>
      <w:rFonts w:ascii="Times New Roman" w:eastAsia="Times New Roman" w:hAnsi="Times New Roman" w:cs="Times New Roman"/>
      <w:b w:val="0"/>
      <w:bCs w:val="0"/>
      <w:i w:val="0"/>
      <w:iCs w:val="0"/>
      <w:smallCaps w:val="0"/>
      <w:strike w:val="0"/>
      <w:spacing w:val="0"/>
      <w:sz w:val="27"/>
      <w:szCs w:val="27"/>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11pt">
    <w:name w:val="Колонтитул + 11 pt"/>
    <w:basedOn w:val="a5"/>
    <w:rPr>
      <w:rFonts w:ascii="Times New Roman" w:eastAsia="Times New Roman" w:hAnsi="Times New Roman" w:cs="Times New Roman"/>
      <w:b w:val="0"/>
      <w:bCs w:val="0"/>
      <w:i w:val="0"/>
      <w:iCs w:val="0"/>
      <w:smallCaps w:val="0"/>
      <w:strike w:val="0"/>
      <w:spacing w:val="0"/>
      <w:sz w:val="22"/>
      <w:szCs w:val="22"/>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0"/>
      <w:szCs w:val="20"/>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spacing w:val="0"/>
      <w:sz w:val="23"/>
      <w:szCs w:val="23"/>
    </w:rPr>
  </w:style>
  <w:style w:type="character" w:customStyle="1" w:styleId="22">
    <w:name w:val="Основной текст2"/>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40">
    <w:name w:val="Основной текст (4)_"/>
    <w:basedOn w:val="a0"/>
    <w:link w:val="41"/>
    <w:rPr>
      <w:rFonts w:ascii="Tahoma" w:eastAsia="Tahoma" w:hAnsi="Tahoma" w:cs="Tahoma"/>
      <w:b w:val="0"/>
      <w:bCs w:val="0"/>
      <w:i w:val="0"/>
      <w:iCs w:val="0"/>
      <w:smallCaps w:val="0"/>
      <w:strike w:val="0"/>
      <w:spacing w:val="0"/>
      <w:sz w:val="18"/>
      <w:szCs w:val="18"/>
    </w:rPr>
  </w:style>
  <w:style w:type="character" w:customStyle="1" w:styleId="42">
    <w:name w:val="Основной текст (4)"/>
    <w:basedOn w:val="40"/>
    <w:rPr>
      <w:rFonts w:ascii="Tahoma" w:eastAsia="Tahoma" w:hAnsi="Tahoma" w:cs="Tahoma"/>
      <w:b w:val="0"/>
      <w:bCs w:val="0"/>
      <w:i w:val="0"/>
      <w:iCs w:val="0"/>
      <w:smallCaps w:val="0"/>
      <w:strike w:val="0"/>
      <w:spacing w:val="0"/>
      <w:sz w:val="18"/>
      <w:szCs w:val="18"/>
    </w:rPr>
  </w:style>
  <w:style w:type="character" w:customStyle="1" w:styleId="31">
    <w:name w:val="Основной текст3"/>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a7">
    <w:name w:val="Подпись к таблице_"/>
    <w:basedOn w:val="a0"/>
    <w:link w:val="a8"/>
    <w:rPr>
      <w:rFonts w:ascii="Times New Roman" w:eastAsia="Times New Roman" w:hAnsi="Times New Roman" w:cs="Times New Roman"/>
      <w:b w:val="0"/>
      <w:bCs w:val="0"/>
      <w:i w:val="0"/>
      <w:iCs w:val="0"/>
      <w:smallCaps w:val="0"/>
      <w:strike w:val="0"/>
      <w:spacing w:val="0"/>
      <w:sz w:val="23"/>
      <w:szCs w:val="23"/>
    </w:rPr>
  </w:style>
  <w:style w:type="character" w:customStyle="1" w:styleId="1135pt0">
    <w:name w:val="Заголовок №1 + 13;5 pt"/>
    <w:basedOn w:val="1"/>
    <w:rPr>
      <w:rFonts w:ascii="Times New Roman" w:eastAsia="Times New Roman" w:hAnsi="Times New Roman" w:cs="Times New Roman"/>
      <w:b w:val="0"/>
      <w:bCs w:val="0"/>
      <w:i w:val="0"/>
      <w:iCs w:val="0"/>
      <w:smallCaps w:val="0"/>
      <w:strike w:val="0"/>
      <w:spacing w:val="0"/>
      <w:sz w:val="27"/>
      <w:szCs w:val="27"/>
    </w:rPr>
  </w:style>
  <w:style w:type="paragraph" w:customStyle="1" w:styleId="4">
    <w:name w:val="Основной текст4"/>
    <w:basedOn w:val="a"/>
    <w:link w:val="a4"/>
    <w:pPr>
      <w:shd w:val="clear" w:color="auto" w:fill="FFFFFF"/>
      <w:spacing w:after="2700" w:line="278" w:lineRule="exact"/>
    </w:pPr>
    <w:rPr>
      <w:rFonts w:ascii="Times New Roman" w:eastAsia="Times New Roman" w:hAnsi="Times New Roman" w:cs="Times New Roman"/>
      <w:sz w:val="23"/>
      <w:szCs w:val="23"/>
    </w:rPr>
  </w:style>
  <w:style w:type="paragraph" w:customStyle="1" w:styleId="20">
    <w:name w:val="Основной текст (2)"/>
    <w:basedOn w:val="a"/>
    <w:link w:val="2"/>
    <w:pPr>
      <w:shd w:val="clear" w:color="auto" w:fill="FFFFFF"/>
      <w:spacing w:before="2700" w:after="8520" w:line="278" w:lineRule="exact"/>
      <w:jc w:val="center"/>
    </w:pPr>
    <w:rPr>
      <w:rFonts w:ascii="Times New Roman" w:eastAsia="Times New Roman" w:hAnsi="Times New Roman" w:cs="Times New Roman"/>
      <w:b/>
      <w:bCs/>
      <w:sz w:val="23"/>
      <w:szCs w:val="23"/>
    </w:rPr>
  </w:style>
  <w:style w:type="paragraph" w:customStyle="1" w:styleId="10">
    <w:name w:val="Заголовок №1"/>
    <w:basedOn w:val="a"/>
    <w:link w:val="1"/>
    <w:pPr>
      <w:shd w:val="clear" w:color="auto" w:fill="FFFFFF"/>
      <w:spacing w:line="0" w:lineRule="atLeast"/>
      <w:outlineLvl w:val="0"/>
    </w:pPr>
    <w:rPr>
      <w:rFonts w:ascii="Times New Roman" w:eastAsia="Times New Roman" w:hAnsi="Times New Roman" w:cs="Times New Roman"/>
      <w:b/>
      <w:bCs/>
      <w:sz w:val="23"/>
      <w:szCs w:val="23"/>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Основной текст (3)"/>
    <w:basedOn w:val="a"/>
    <w:link w:val="3"/>
    <w:pPr>
      <w:shd w:val="clear" w:color="auto" w:fill="FFFFFF"/>
      <w:spacing w:line="0" w:lineRule="atLeast"/>
    </w:pPr>
    <w:rPr>
      <w:rFonts w:ascii="Times New Roman" w:eastAsia="Times New Roman" w:hAnsi="Times New Roman" w:cs="Times New Roman"/>
      <w:sz w:val="20"/>
      <w:szCs w:val="20"/>
    </w:rPr>
  </w:style>
  <w:style w:type="paragraph" w:customStyle="1" w:styleId="41">
    <w:name w:val="Основной текст (4)"/>
    <w:basedOn w:val="a"/>
    <w:link w:val="40"/>
    <w:pPr>
      <w:shd w:val="clear" w:color="auto" w:fill="FFFFFF"/>
      <w:spacing w:line="0" w:lineRule="atLeast"/>
    </w:pPr>
    <w:rPr>
      <w:rFonts w:ascii="Tahoma" w:eastAsia="Tahoma" w:hAnsi="Tahoma" w:cs="Tahoma"/>
      <w:sz w:val="18"/>
      <w:szCs w:val="18"/>
    </w:rPr>
  </w:style>
  <w:style w:type="paragraph" w:customStyle="1" w:styleId="a8">
    <w:name w:val="Подпись к таблице"/>
    <w:basedOn w:val="a"/>
    <w:link w:val="a7"/>
    <w:pPr>
      <w:shd w:val="clear" w:color="auto" w:fill="FFFFFF"/>
      <w:spacing w:line="278" w:lineRule="exact"/>
      <w:jc w:val="both"/>
    </w:pPr>
    <w:rPr>
      <w:rFonts w:ascii="Times New Roman" w:eastAsia="Times New Roman" w:hAnsi="Times New Roman" w:cs="Times New Roman"/>
      <w:b/>
      <w:bCs/>
      <w:sz w:val="23"/>
      <w:szCs w:val="23"/>
    </w:rPr>
  </w:style>
  <w:style w:type="paragraph" w:styleId="a9">
    <w:name w:val="header"/>
    <w:basedOn w:val="a"/>
    <w:link w:val="aa"/>
    <w:uiPriority w:val="99"/>
    <w:unhideWhenUsed/>
    <w:rsid w:val="00581F99"/>
    <w:pPr>
      <w:tabs>
        <w:tab w:val="center" w:pos="4677"/>
        <w:tab w:val="right" w:pos="9355"/>
      </w:tabs>
    </w:pPr>
  </w:style>
  <w:style w:type="character" w:customStyle="1" w:styleId="aa">
    <w:name w:val="Верхний колонтитул Знак"/>
    <w:basedOn w:val="a0"/>
    <w:link w:val="a9"/>
    <w:uiPriority w:val="99"/>
    <w:rsid w:val="00581F99"/>
    <w:rPr>
      <w:color w:val="000000"/>
    </w:rPr>
  </w:style>
  <w:style w:type="paragraph" w:styleId="ab">
    <w:name w:val="footer"/>
    <w:basedOn w:val="a"/>
    <w:link w:val="ac"/>
    <w:uiPriority w:val="99"/>
    <w:unhideWhenUsed/>
    <w:rsid w:val="00581F99"/>
    <w:pPr>
      <w:tabs>
        <w:tab w:val="center" w:pos="4677"/>
        <w:tab w:val="right" w:pos="9355"/>
      </w:tabs>
    </w:pPr>
  </w:style>
  <w:style w:type="character" w:customStyle="1" w:styleId="ac">
    <w:name w:val="Нижний колонтитул Знак"/>
    <w:basedOn w:val="a0"/>
    <w:link w:val="ab"/>
    <w:uiPriority w:val="99"/>
    <w:rsid w:val="00581F99"/>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2852</Words>
  <Characters>16260</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МЕСТНЫЕ НОРМАТИВЫ ГРАДОСТРОИТЕЛЬНОГО ПРОЕКТИРОВАНИЯ ТРОИЦКОГО СЕЛЬСКОГО ПОСЕЛЕНИЯ КРЫМСКОГО РАЙОНА</vt:lpstr>
    </vt:vector>
  </TitlesOfParts>
  <Company/>
  <LinksUpToDate>false</LinksUpToDate>
  <CharactersWithSpaces>19074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МЕСТНЫЕ НОРМАТИВЫ ГРАДОСТРОИТЕЛЬНОГО ПРОЕКТИРОВАНИЯ ТРОИЦКОГО СЕЛЬСКОГО ПОСЕЛЕНИЯ КРЫМСКОГО РАЙОНА</dc:title>
  <dc:subject>Часть  1 Основная часть.                                Правила и область применения расчетных показателей</dc:subject>
  <dc:creator>user371</dc:creator>
  <cp:keywords/>
  <cp:lastModifiedBy>user371</cp:lastModifiedBy>
  <cp:revision>2</cp:revision>
  <cp:lastPrinted>2017-11-24T10:37:00Z</cp:lastPrinted>
  <dcterms:created xsi:type="dcterms:W3CDTF">2017-12-11T07:11:00Z</dcterms:created>
  <dcterms:modified xsi:type="dcterms:W3CDTF">2017-12-11T07:11:00Z</dcterms:modified>
</cp:coreProperties>
</file>