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A21BD9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8562C2A" wp14:editId="6CE8EFF6">
            <wp:extent cx="1143000" cy="12382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BD9" w:rsidRPr="00A21BD9" w:rsidRDefault="00A21BD9" w:rsidP="00A21BD9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</w:t>
      </w:r>
    </w:p>
    <w:p w:rsidR="00A21BD9" w:rsidRPr="00A21BD9" w:rsidRDefault="00A21BD9" w:rsidP="00A21BD9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 ЭЛЬКУНЫСЬ БАЛЕЗИНО ЁРОС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 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ОКРУГ» МУНИЦИПАЛ 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КЫЛДЫТЭТ</w:t>
      </w:r>
      <w:r w:rsidR="00452EC6">
        <w:rPr>
          <w:rFonts w:ascii="Times New Roman" w:eastAsia="Times New Roman" w:hAnsi="Times New Roman" w:cs="Times New Roman"/>
          <w:sz w:val="24"/>
          <w:szCs w:val="24"/>
          <w:lang w:eastAsia="ru-RU"/>
        </w:rPr>
        <w:t>ЫСЬ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АДМИНИСТРАЦИЕЗ</w:t>
      </w:r>
    </w:p>
    <w:p w:rsidR="00A21BD9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00335" w:rsidRPr="00A21BD9" w:rsidRDefault="00600335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600335" w:rsidRDefault="00A21BD9" w:rsidP="00A21B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00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3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1BD9" w:rsidRPr="00A21BD9" w:rsidRDefault="00567CD9" w:rsidP="00A21B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17.12.</w:t>
      </w:r>
      <w:r w:rsidR="00A21BD9" w:rsidRPr="00A21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№ 14</w:t>
      </w:r>
    </w:p>
    <w:p w:rsidR="00452EC6" w:rsidRDefault="00452EC6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Балезинский район Удмуртской Республики» на 2022 год.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муниципального образования «Муниципальный округ Балезинский район Удмуртской Республики»  на 2022 год согласно приложению.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строительства, ЖКХ и архитектуры.</w:t>
      </w: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 официальном сайте Балезинского района. </w:t>
      </w: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Pr="00A21BD9" w:rsidRDefault="00452EC6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CD9" w:rsidRDefault="00A21B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567C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7B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9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bookmarkStart w:id="0" w:name="_GoBack"/>
      <w:bookmarkEnd w:id="0"/>
    </w:p>
    <w:p w:rsidR="00A21BD9" w:rsidRDefault="00567CD9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</w:t>
      </w:r>
      <w:proofErr w:type="spell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9115CE" w:rsidRDefault="009115CE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9115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EC6" w:rsidRDefault="00452EC6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9" w:rsidRDefault="00567C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________от ___________2021 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контроля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12FC0">
        <w:rPr>
          <w:rFonts w:ascii="Times New Roman" w:hAnsi="Times New Roman" w:cs="Times New Roman"/>
          <w:sz w:val="28"/>
          <w:szCs w:val="28"/>
        </w:rPr>
        <w:t>Вид муниципального контроля: муниципальный жилищный контроль.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12FC0">
        <w:rPr>
          <w:rFonts w:ascii="Times New Roman" w:hAnsi="Times New Roman" w:cs="Times New Roman"/>
          <w:sz w:val="28"/>
          <w:szCs w:val="28"/>
        </w:rPr>
        <w:t>Предметом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FC0">
        <w:rPr>
          <w:rFonts w:ascii="Times New Roman" w:hAnsi="Times New Roman" w:cs="Times New Roman"/>
          <w:sz w:val="28"/>
          <w:szCs w:val="28"/>
        </w:rPr>
        <w:t>является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:</w:t>
      </w:r>
      <w:r w:rsidRPr="00912FC0">
        <w:rPr>
          <w:rFonts w:ascii="Times New Roman" w:hAnsi="Times New Roman" w:cs="Times New Roman"/>
          <w:sz w:val="28"/>
          <w:szCs w:val="28"/>
        </w:rPr>
        <w:tab/>
      </w:r>
      <w:r w:rsidRPr="00912FC0">
        <w:rPr>
          <w:rFonts w:ascii="Times New Roman" w:hAnsi="Times New Roman" w:cs="Times New Roman"/>
          <w:sz w:val="28"/>
          <w:szCs w:val="28"/>
          <w:vertAlign w:val="subscript"/>
        </w:rPr>
        <w:t>:</w:t>
      </w:r>
      <w:proofErr w:type="gramEnd"/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12FC0">
        <w:rPr>
          <w:rFonts w:ascii="Times New Roman" w:hAnsi="Times New Roman" w:cs="Times New Roman"/>
          <w:sz w:val="28"/>
          <w:szCs w:val="28"/>
        </w:rPr>
        <w:t xml:space="preserve"> гражданами обязательных требований установленных жилищным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FC0">
        <w:rPr>
          <w:rFonts w:ascii="Times New Roman" w:hAnsi="Times New Roman" w:cs="Times New Roman"/>
          <w:sz w:val="28"/>
          <w:szCs w:val="28"/>
        </w:rPr>
        <w:t xml:space="preserve"> законодательством об энергосбережении и о повышении энергетической эффективности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2FC0"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 (дал</w:t>
      </w:r>
      <w:r>
        <w:rPr>
          <w:rFonts w:ascii="Times New Roman" w:hAnsi="Times New Roman" w:cs="Times New Roman"/>
          <w:sz w:val="28"/>
          <w:szCs w:val="28"/>
        </w:rPr>
        <w:t>ее - обязательных требований), а</w:t>
      </w:r>
      <w:r w:rsidRPr="00912FC0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12FC0">
        <w:rPr>
          <w:rFonts w:ascii="Times New Roman" w:hAnsi="Times New Roman" w:cs="Times New Roman"/>
          <w:sz w:val="28"/>
          <w:szCs w:val="28"/>
        </w:rPr>
        <w:t xml:space="preserve">1)требований </w:t>
      </w:r>
      <w:proofErr w:type="gramStart"/>
      <w:r w:rsidRPr="00912F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12FC0">
        <w:rPr>
          <w:rFonts w:ascii="Times New Roman" w:hAnsi="Times New Roman" w:cs="Times New Roman"/>
          <w:sz w:val="28"/>
          <w:szCs w:val="28"/>
        </w:rPr>
        <w:t>: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предоставлению коммунальных ус</w:t>
      </w:r>
      <w:r w:rsidRPr="00912FC0">
        <w:rPr>
          <w:rFonts w:ascii="Times New Roman" w:hAnsi="Times New Roman" w:cs="Times New Roman"/>
          <w:sz w:val="28"/>
          <w:szCs w:val="28"/>
        </w:rPr>
        <w:t>луг собственникам и пользователям помещений в многоквартирных домах и жилых домов;</w:t>
      </w:r>
    </w:p>
    <w:p w:rsidR="00912FC0" w:rsidRPr="00912FC0" w:rsidRDefault="00912FC0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2FC0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912FC0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912FC0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912FC0" w:rsidRDefault="00D5001D" w:rsidP="00912FC0">
      <w:pPr>
        <w:pStyle w:val="ab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2FC0" w:rsidRPr="00912FC0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001D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D5001D">
        <w:rPr>
          <w:rFonts w:ascii="Times New Roman" w:hAnsi="Times New Roman" w:cs="Times New Roman"/>
          <w:sz w:val="28"/>
          <w:szCs w:val="28"/>
        </w:rPr>
        <w:t>правил: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содержания общего имущества в многоквартирном доме;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изменения размера платы за содержание жилого помещения;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01D">
        <w:rPr>
          <w:rFonts w:ascii="Times New Roman" w:hAnsi="Times New Roman" w:cs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D5001D" w:rsidRPr="00D5001D" w:rsidRDefault="00D5001D" w:rsidP="00D5001D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001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в 2020 - 2021 году. </w:t>
      </w:r>
      <w:proofErr w:type="gramEnd"/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частности, в 2020 - 2021 году в целях профилактики нарушений обязательных требований на официальном сайте муниципального образования в 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ресурсоснабжающих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</w:t>
      </w:r>
      <w:proofErr w:type="spellStart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мессенджеров</w:t>
      </w:r>
      <w:proofErr w:type="spellEnd"/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(совместные чаты с представителями юридических лиц).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 w:rsidRPr="00A21BD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4B403D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контроля на территории муниципального образования на 2021 год утверждался. </w:t>
      </w:r>
      <w:r w:rsidRPr="00D5001D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 2021 году проводятся плановые и внеплановые проверки граждан.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Администрацией муниципального образования «Муниципальный округ Балезинский район Удмуртская Республика» в 2020 - 2021 году работа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2022 году будет сосредоточена на следующих направлениях: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профилактические мероприятия;</w:t>
      </w:r>
    </w:p>
    <w:p w:rsidR="00A21BD9" w:rsidRPr="00A21BD9" w:rsidRDefault="00A21BD9" w:rsidP="00A21BD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соблюдения </w:t>
      </w:r>
      <w:r w:rsidR="004B403D">
        <w:rPr>
          <w:rFonts w:ascii="Times New Roman" w:eastAsia="Calibri" w:hAnsi="Times New Roman" w:cs="Times New Roman"/>
          <w:sz w:val="28"/>
          <w:szCs w:val="28"/>
        </w:rPr>
        <w:t>жилищного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</w:t>
      </w: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 порядке осуществления муниципального </w:t>
      </w:r>
      <w:r w:rsidR="004B40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контроля, утвержденном решением представительного органа, проводятся следующие профилактические мероприятия: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практики; 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д)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- 50 %.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A21BD9" w:rsidRPr="00A21BD9" w:rsidRDefault="00A21BD9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Default="00A21BD9" w:rsidP="000010FB">
      <w:pPr>
        <w:pStyle w:val="a3"/>
        <w:shd w:val="clear" w:color="auto" w:fill="FFFFFF"/>
        <w:jc w:val="both"/>
        <w:rPr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Программе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559"/>
      </w:tblGrid>
      <w:tr w:rsidR="00A21BD9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  <w:r w:rsidRPr="00A21BD9">
              <w:rPr>
                <w:rFonts w:ascii="Times New Roman" w:eastAsia="Calibri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A21BD9" w:rsidP="00A21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BD9" w:rsidRPr="00A21BD9" w:rsidRDefault="00A21BD9" w:rsidP="00A21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A21BD9" w:rsidRPr="00A21BD9" w:rsidTr="003244C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BD9" w:rsidRPr="00A21BD9" w:rsidRDefault="00A21BD9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D9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A21BD9" w:rsidRPr="00A21BD9" w:rsidRDefault="00A21BD9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на сайте руководств по соблюдению обязательных требований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16CF7" w:rsidRPr="00A21BD9" w:rsidTr="003244C4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3.6. Положения о виде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F16CF7" w:rsidRPr="00A21BD9" w:rsidTr="003244C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Обобщение и анализ правоприменительной практики контрольно-надзорной деятельности в сфере соблюдения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16CF7" w:rsidRPr="00A21BD9" w:rsidTr="003244C4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lang w:eastAsia="ru-RU"/>
              </w:rPr>
              <w:t>жилищного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контроля.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Ежемесячно в соответствии с графиком, утверждаемым главой Администрации муниципального образования «Балезинский район»</w:t>
            </w:r>
          </w:p>
          <w:p w:rsidR="00F16CF7" w:rsidRPr="00A21BD9" w:rsidRDefault="00F16CF7" w:rsidP="00A21BD9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F16CF7" w:rsidRPr="00A21BD9" w:rsidTr="003244C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пункте 3.11. Положения о виде контроля.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CF7" w:rsidRPr="00A21BD9" w:rsidRDefault="00F16CF7" w:rsidP="00C03A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Отдел строительства, ЖКХ и архитектуры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</w:t>
            </w:r>
          </w:p>
          <w:p w:rsidR="00F16CF7" w:rsidRPr="00A21BD9" w:rsidRDefault="00F16CF7" w:rsidP="00A21B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1B0FFB" w:rsidRPr="001B0FFB" w:rsidRDefault="001B0FFB" w:rsidP="002C78CD"/>
    <w:sectPr w:rsidR="001B0FFB" w:rsidRPr="001B0FFB" w:rsidSect="00600335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0D9" w:rsidRDefault="006300D9" w:rsidP="00A21BD9">
      <w:pPr>
        <w:spacing w:after="0" w:line="240" w:lineRule="auto"/>
      </w:pPr>
      <w:r>
        <w:separator/>
      </w:r>
    </w:p>
  </w:endnote>
  <w:endnote w:type="continuationSeparator" w:id="0">
    <w:p w:rsidR="006300D9" w:rsidRDefault="006300D9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0D9" w:rsidRDefault="006300D9" w:rsidP="00A21BD9">
      <w:pPr>
        <w:spacing w:after="0" w:line="240" w:lineRule="auto"/>
      </w:pPr>
      <w:r>
        <w:separator/>
      </w:r>
    </w:p>
  </w:footnote>
  <w:footnote w:type="continuationSeparator" w:id="0">
    <w:p w:rsidR="006300D9" w:rsidRDefault="006300D9" w:rsidP="00A21BD9">
      <w:pPr>
        <w:spacing w:after="0" w:line="240" w:lineRule="auto"/>
      </w:pPr>
      <w:r>
        <w:continuationSeparator/>
      </w:r>
    </w:p>
  </w:footnote>
  <w:footnote w:id="1">
    <w:p w:rsidR="00A21BD9" w:rsidRDefault="00A21BD9" w:rsidP="00A21B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4CA"/>
    <w:multiLevelType w:val="multilevel"/>
    <w:tmpl w:val="E33872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113B0"/>
    <w:multiLevelType w:val="multilevel"/>
    <w:tmpl w:val="FA7879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16032"/>
    <w:rsid w:val="000C6D42"/>
    <w:rsid w:val="001040D0"/>
    <w:rsid w:val="00163B5A"/>
    <w:rsid w:val="00173067"/>
    <w:rsid w:val="001B0FFB"/>
    <w:rsid w:val="00212B7B"/>
    <w:rsid w:val="002C597F"/>
    <w:rsid w:val="002C78CD"/>
    <w:rsid w:val="00304BEB"/>
    <w:rsid w:val="003903AF"/>
    <w:rsid w:val="00411AB0"/>
    <w:rsid w:val="0042041A"/>
    <w:rsid w:val="00452EC6"/>
    <w:rsid w:val="00466CDD"/>
    <w:rsid w:val="004B403D"/>
    <w:rsid w:val="004D0F87"/>
    <w:rsid w:val="004E227E"/>
    <w:rsid w:val="004F5495"/>
    <w:rsid w:val="0056671E"/>
    <w:rsid w:val="00567CD9"/>
    <w:rsid w:val="005B4711"/>
    <w:rsid w:val="005E6550"/>
    <w:rsid w:val="00600335"/>
    <w:rsid w:val="006300D9"/>
    <w:rsid w:val="006400A0"/>
    <w:rsid w:val="00684746"/>
    <w:rsid w:val="006C2B56"/>
    <w:rsid w:val="006E426C"/>
    <w:rsid w:val="007127F9"/>
    <w:rsid w:val="007867E4"/>
    <w:rsid w:val="007A32AF"/>
    <w:rsid w:val="007B173C"/>
    <w:rsid w:val="007B475A"/>
    <w:rsid w:val="007D3723"/>
    <w:rsid w:val="00821B3F"/>
    <w:rsid w:val="008B6667"/>
    <w:rsid w:val="009115CE"/>
    <w:rsid w:val="00912FC0"/>
    <w:rsid w:val="009812B0"/>
    <w:rsid w:val="00984B4E"/>
    <w:rsid w:val="009F1FC2"/>
    <w:rsid w:val="00A21BD9"/>
    <w:rsid w:val="00A85D3E"/>
    <w:rsid w:val="00B56B5B"/>
    <w:rsid w:val="00B85C92"/>
    <w:rsid w:val="00BD02E6"/>
    <w:rsid w:val="00C56CC9"/>
    <w:rsid w:val="00C71434"/>
    <w:rsid w:val="00CA101B"/>
    <w:rsid w:val="00CE58D8"/>
    <w:rsid w:val="00D43DB0"/>
    <w:rsid w:val="00D44BDC"/>
    <w:rsid w:val="00D5001D"/>
    <w:rsid w:val="00D7408E"/>
    <w:rsid w:val="00E2603D"/>
    <w:rsid w:val="00E600C7"/>
    <w:rsid w:val="00ED5309"/>
    <w:rsid w:val="00F16CF7"/>
    <w:rsid w:val="00F36999"/>
    <w:rsid w:val="00F44F67"/>
    <w:rsid w:val="00FB1586"/>
    <w:rsid w:val="00F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912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12FC0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No Spacing"/>
    <w:uiPriority w:val="1"/>
    <w:qFormat/>
    <w:rsid w:val="00912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E69C-5B7F-4538-94FB-A4131972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comp51</dc:creator>
  <cp:lastModifiedBy>User</cp:lastModifiedBy>
  <cp:revision>10</cp:revision>
  <cp:lastPrinted>2021-12-20T12:13:00Z</cp:lastPrinted>
  <dcterms:created xsi:type="dcterms:W3CDTF">2021-10-25T10:30:00Z</dcterms:created>
  <dcterms:modified xsi:type="dcterms:W3CDTF">2021-12-20T12:18:00Z</dcterms:modified>
</cp:coreProperties>
</file>