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D9679F">
      <w:pPr>
        <w:pStyle w:val="2"/>
        <w:rPr>
          <w:rFonts w:eastAsia="Times New Roman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BB25E">
            <wp:extent cx="1146175" cy="12376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tabs>
          <w:tab w:val="left" w:pos="823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48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480DB3" w:rsidRPr="00480DB3" w:rsidRDefault="00480DB3" w:rsidP="00480DB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4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C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4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1C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C345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п.Балезино</w:t>
      </w: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на 202</w:t>
      </w:r>
      <w:r w:rsidR="000C34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44EB8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 на 202</w:t>
      </w:r>
      <w:r w:rsidR="000C34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544EB8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имущественных и земельных отношений 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«Муниципальный округ Балезинский район Удмуртской Республики»</w:t>
      </w:r>
    </w:p>
    <w:p w:rsidR="00544EB8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21BD9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0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BD9" w:rsidRPr="00A21BD9" w:rsidRDefault="00A21BD9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54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Новойдарский</w:t>
      </w:r>
    </w:p>
    <w:p w:rsidR="00A64D72" w:rsidRDefault="00A64D72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D84" w:rsidRPr="00790D84" w:rsidRDefault="00790D84" w:rsidP="0079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вносит  </w:t>
      </w:r>
    </w:p>
    <w:p w:rsidR="00790D84" w:rsidRPr="00790D84" w:rsidRDefault="00790D84" w:rsidP="0079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>УИиЗО</w:t>
      </w:r>
      <w:proofErr w:type="spellEnd"/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Смирнов</w:t>
      </w:r>
    </w:p>
    <w:p w:rsidR="00790D84" w:rsidRPr="00790D84" w:rsidRDefault="00790D84" w:rsidP="0079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790D84" w:rsidRPr="00790D84" w:rsidRDefault="00790D84" w:rsidP="0079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И.В.Матушкина</w:t>
      </w:r>
      <w:proofErr w:type="spellEnd"/>
    </w:p>
    <w:p w:rsidR="00790D84" w:rsidRDefault="00790D84" w:rsidP="0079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D84" w:rsidRPr="00790D84" w:rsidRDefault="00790D84" w:rsidP="0079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Кирющенков</w:t>
      </w:r>
    </w:p>
    <w:p w:rsidR="00790D84" w:rsidRDefault="00790D84" w:rsidP="0079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D84" w:rsidRPr="00790D84" w:rsidRDefault="00790D84" w:rsidP="0079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отдела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М.С. </w:t>
      </w:r>
      <w:proofErr w:type="spellStart"/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Гиздуллина</w:t>
      </w:r>
      <w:proofErr w:type="spellEnd"/>
    </w:p>
    <w:p w:rsidR="00790D84" w:rsidRDefault="00790D84" w:rsidP="0079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D84" w:rsidRPr="00790D84" w:rsidRDefault="00790D84" w:rsidP="00790D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Г.А. </w:t>
      </w:r>
      <w:proofErr w:type="spellStart"/>
      <w:r w:rsidRPr="00790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</w:p>
    <w:p w:rsidR="00544EB8" w:rsidRDefault="00544EB8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59" w:rsidRDefault="001C715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9E" w:rsidRDefault="00E52A9E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E9" w:rsidRDefault="009E6FE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B8" w:rsidRPr="00544EB8" w:rsidRDefault="00544EB8" w:rsidP="00544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сп</w:t>
      </w:r>
      <w:proofErr w:type="spellEnd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В.В.Варзегова</w:t>
      </w:r>
      <w:proofErr w:type="spellEnd"/>
    </w:p>
    <w:p w:rsidR="00544EB8" w:rsidRPr="00544EB8" w:rsidRDefault="00544EB8" w:rsidP="00544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5-15-26</w:t>
      </w:r>
    </w:p>
    <w:p w:rsidR="00A64D72" w:rsidRPr="00A21BD9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21BD9" w:rsidRPr="00A21BD9" w:rsidRDefault="00A21BD9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A21BD9" w:rsidRPr="00A21BD9" w:rsidRDefault="00A21BD9" w:rsidP="00A21BD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№ </w:t>
      </w:r>
      <w:r w:rsidR="0011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="0011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C3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5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C3459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1BD9" w:rsidRPr="00A21BD9" w:rsidRDefault="00A21BD9" w:rsidP="00A21BD9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4A1F7B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="004A1F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21BD9" w:rsidRPr="00A21BD9" w:rsidRDefault="004A1F7B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2023 год.</w:t>
      </w:r>
      <w:r w:rsidR="00A21BD9"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904D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="00480DB3">
        <w:rPr>
          <w:rFonts w:ascii="Times New Roman" w:eastAsia="Calibri" w:hAnsi="Times New Roman" w:cs="Times New Roman"/>
          <w:sz w:val="28"/>
          <w:szCs w:val="28"/>
        </w:rPr>
        <w:t>на территории муниципального образования «Муниципальный округ Балезинский район Удмуртской Республики»</w:t>
      </w:r>
      <w:r w:rsidR="00904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</w:t>
      </w:r>
      <w:r w:rsidR="00AC64FF" w:rsidRPr="00AC64FF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="00AC64FF" w:rsidRPr="00AC64FF">
        <w:rPr>
          <w:rFonts w:ascii="Times New Roman" w:eastAsia="Calibri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C64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1BD9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="00904D82" w:rsidRPr="00904D82">
        <w:t xml:space="preserve"> </w:t>
      </w:r>
      <w:r w:rsidR="00904D82" w:rsidRPr="00904D82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A21BD9" w:rsidRPr="00A21BD9" w:rsidRDefault="00A21BD9" w:rsidP="00A21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A21BD9" w:rsidRPr="00A21BD9" w:rsidRDefault="00A21BD9" w:rsidP="00A21BD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21BD9" w:rsidRPr="00A21BD9" w:rsidRDefault="00A21BD9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территории земель, расположенные в границах муниципального образования «Муниципальный округ Балезинский район Удмуртская Республика», земельные участки и их части независимо от прав на них (далее – объекты контроля). </w:t>
      </w:r>
    </w:p>
    <w:p w:rsidR="00A8416B" w:rsidRDefault="00A8416B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6B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A21BD9" w:rsidRPr="00A21BD9" w:rsidRDefault="00A21BD9" w:rsidP="00A21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«Муниципальный округ Балезинский </w:t>
      </w:r>
      <w:r w:rsidRPr="00A21B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район Удмуртская Республика»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  <w:proofErr w:type="gramEnd"/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В 2022 году контрольные (надзорные) мероприятия не проводились ввиду принятия </w:t>
      </w:r>
      <w:proofErr w:type="gramStart"/>
      <w:r w:rsidR="004A1F7B">
        <w:rPr>
          <w:rFonts w:ascii="Times New Roman" w:eastAsia="Calibri" w:hAnsi="Times New Roman" w:cs="Times New Roman"/>
          <w:bCs/>
          <w:sz w:val="28"/>
          <w:szCs w:val="28"/>
        </w:rPr>
        <w:t>Положения</w:t>
      </w:r>
      <w:proofErr w:type="gramEnd"/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о муниципальном </w:t>
      </w:r>
      <w:r w:rsidR="00AA6708"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земельном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контроле после установленного законодательством срока представления Плана в органы прокуратуры и с учетом положений Постановления Правительства РФ от 10</w:t>
      </w:r>
      <w:r w:rsidR="001C42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марта 2022 года </w:t>
      </w:r>
      <w:r w:rsidR="001C4290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целях профилактики нарушения требований земельного законодательства на 2022 год утверждена программа профилактики нарушений обязательных требова</w:t>
      </w:r>
      <w:r w:rsidR="004A1F7B">
        <w:rPr>
          <w:rFonts w:ascii="Times New Roman" w:eastAsia="Calibri" w:hAnsi="Times New Roman" w:cs="Times New Roman"/>
          <w:sz w:val="28"/>
          <w:szCs w:val="28"/>
        </w:rPr>
        <w:t>ний земельного законодательства Постановление Администрации муниципального образования «Муниципальный округ Балезинский район Удмуртской Республики» №10 от 17.12.2021г.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В рамках указанной программы на 2022 год </w:t>
      </w:r>
      <w:r w:rsidR="00A53109">
        <w:rPr>
          <w:rFonts w:ascii="Times New Roman" w:eastAsia="Calibri" w:hAnsi="Times New Roman" w:cs="Times New Roman"/>
          <w:sz w:val="28"/>
          <w:szCs w:val="28"/>
        </w:rPr>
        <w:t>Управление имущественных и земельных отношений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осуществлял</w:t>
      </w:r>
      <w:r w:rsidR="00A53109">
        <w:rPr>
          <w:rFonts w:ascii="Times New Roman" w:eastAsia="Calibri" w:hAnsi="Times New Roman" w:cs="Times New Roman"/>
          <w:sz w:val="28"/>
          <w:szCs w:val="28"/>
        </w:rPr>
        <w:t>о</w:t>
      </w:r>
      <w:r w:rsidRPr="00A841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416B" w:rsidRPr="00A8416B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1. </w:t>
      </w:r>
      <w:r w:rsidR="00D9679F" w:rsidRPr="001C4290">
        <w:rPr>
          <w:rFonts w:ascii="Times New Roman" w:eastAsia="Calibri" w:hAnsi="Times New Roman" w:cs="Times New Roman"/>
          <w:sz w:val="28"/>
          <w:szCs w:val="28"/>
        </w:rPr>
        <w:t>Поддержание в актуальном состоянии</w:t>
      </w:r>
      <w:r w:rsidR="00D9679F" w:rsidRPr="00D96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16B">
        <w:rPr>
          <w:rFonts w:ascii="Times New Roman" w:eastAsia="Calibri" w:hAnsi="Times New Roman" w:cs="Times New Roman"/>
          <w:sz w:val="28"/>
          <w:szCs w:val="28"/>
        </w:rPr>
        <w:t>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A53109" w:rsidRDefault="00A8416B" w:rsidP="00A841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2. Информирование </w:t>
      </w:r>
      <w:r w:rsidRPr="00AA6708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земельного законодательства посредством размещени</w:t>
      </w:r>
      <w:r w:rsidR="00A53109">
        <w:rPr>
          <w:rFonts w:ascii="Times New Roman" w:eastAsia="Calibri" w:hAnsi="Times New Roman" w:cs="Times New Roman"/>
          <w:sz w:val="28"/>
          <w:szCs w:val="28"/>
        </w:rPr>
        <w:t xml:space="preserve">я разъяснительной информации на </w:t>
      </w:r>
      <w:r w:rsidRPr="00A8416B">
        <w:rPr>
          <w:rFonts w:ascii="Times New Roman" w:eastAsia="Calibri" w:hAnsi="Times New Roman" w:cs="Times New Roman"/>
          <w:sz w:val="28"/>
          <w:szCs w:val="28"/>
        </w:rPr>
        <w:t>официально</w:t>
      </w:r>
      <w:r w:rsidR="00A53109">
        <w:rPr>
          <w:rFonts w:ascii="Times New Roman" w:eastAsia="Calibri" w:hAnsi="Times New Roman" w:cs="Times New Roman"/>
          <w:sz w:val="28"/>
          <w:szCs w:val="28"/>
        </w:rPr>
        <w:t>м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 w:rsidR="00A53109">
        <w:rPr>
          <w:rFonts w:ascii="Times New Roman" w:eastAsia="Calibri" w:hAnsi="Times New Roman" w:cs="Times New Roman"/>
          <w:sz w:val="28"/>
          <w:szCs w:val="28"/>
        </w:rPr>
        <w:t>е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310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 w:rsidR="00A53109">
        <w:rPr>
          <w:rFonts w:ascii="Times New Roman" w:eastAsia="Calibri" w:hAnsi="Times New Roman" w:cs="Times New Roman"/>
          <w:sz w:val="28"/>
          <w:szCs w:val="28"/>
        </w:rPr>
        <w:t>нет», устного консультирования.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A21BD9" w:rsidRPr="00A21BD9" w:rsidRDefault="00A21BD9" w:rsidP="00A21B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819D1" w:rsidRPr="005819D1" w:rsidRDefault="005819D1" w:rsidP="005819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A21BD9" w:rsidRP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A21BD9" w:rsidRPr="00A21BD9" w:rsidRDefault="00A21BD9" w:rsidP="00A21B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6A229B" w:rsidRPr="00A21BD9" w:rsidRDefault="006A229B" w:rsidP="006A22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363"/>
        <w:gridCol w:w="3969"/>
        <w:gridCol w:w="2126"/>
        <w:gridCol w:w="2126"/>
      </w:tblGrid>
      <w:tr w:rsidR="006A229B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 w:rsidRPr="00A21BD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местной администрации</w:t>
            </w:r>
            <w:r w:rsidRPr="00A21BD9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:rsidR="006A229B" w:rsidRPr="00A21BD9" w:rsidRDefault="006A229B" w:rsidP="00F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9B" w:rsidRPr="00A21BD9" w:rsidRDefault="006A229B" w:rsidP="00F171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6A229B" w:rsidRPr="00A21BD9" w:rsidTr="00F1711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года;</w:t>
            </w:r>
          </w:p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A229B" w:rsidRPr="00A21BD9" w:rsidTr="00F1711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на сайте руководств по соблюдению обязательных требований в сфере соблюдения земельного законодательства при направлении их в адрес</w:t>
            </w:r>
            <w:proofErr w:type="gramEnd"/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6A229B" w:rsidRPr="00A21BD9" w:rsidTr="00F1711C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предусмотрен п. 3.6. Положения</w:t>
            </w:r>
            <w:r w:rsidRPr="00170B97">
              <w:rPr>
                <w:rFonts w:ascii="Times New Roman" w:eastAsia="Times New Roman" w:hAnsi="Times New Roman" w:cs="Times New Roman"/>
                <w:lang w:eastAsia="ru-RU"/>
              </w:rPr>
              <w:t xml:space="preserve">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утвержденное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Решением Совета депутатов муниципального образования </w:t>
            </w:r>
            <w:r w:rsidRPr="00170B97">
              <w:rPr>
                <w:rFonts w:ascii="Times New Roman" w:eastAsia="Times New Roman" w:hAnsi="Times New Roman" w:cs="Times New Roman"/>
                <w:lang w:eastAsia="ru-RU"/>
              </w:rPr>
              <w:t>«Муниципальный округ Балезинск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ий район Удмуртской Республики» №3-47 от 16.12.2021г.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6A229B" w:rsidRPr="00A21BD9" w:rsidTr="00F1711C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 соблюдения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A229B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6A229B" w:rsidRPr="00A21BD9" w:rsidRDefault="006A229B" w:rsidP="00F1711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A229B" w:rsidRPr="00A21BD9" w:rsidTr="00F1711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Администрации</w:t>
            </w:r>
            <w:r w:rsidRPr="00A21BD9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>консультаций по вопросам: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Муниципального земельного контроля.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u w:val="single"/>
                <w:lang w:eastAsia="ru-RU"/>
              </w:rPr>
              <w:t>Консультирование</w:t>
            </w: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 осуществляется посредствам </w:t>
            </w:r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A21BD9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A21BD9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6A229B" w:rsidRPr="00A21BD9" w:rsidRDefault="006A229B" w:rsidP="00AA67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6A229B" w:rsidRPr="00A21BD9" w:rsidTr="00F171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проводятся для лиц, указанных в пункте 3.11. </w:t>
            </w:r>
            <w:r w:rsidRPr="00170B97">
              <w:rPr>
                <w:rFonts w:ascii="Times New Roman" w:eastAsia="Calibri" w:hAnsi="Times New Roman" w:cs="Times New Roman"/>
                <w:lang w:eastAsia="ru-RU"/>
              </w:rPr>
              <w:t>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дмуртской Республики»,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утвержде</w:t>
            </w:r>
            <w:r w:rsidRPr="00170B97">
              <w:rPr>
                <w:rFonts w:ascii="Times New Roman" w:eastAsia="Calibri" w:hAnsi="Times New Roman" w:cs="Times New Roman"/>
                <w:lang w:eastAsia="ru-RU"/>
              </w:rPr>
              <w:t>н</w:t>
            </w:r>
            <w:r>
              <w:rPr>
                <w:rFonts w:ascii="Times New Roman" w:eastAsia="Calibri" w:hAnsi="Times New Roman" w:cs="Times New Roman"/>
                <w:lang w:eastAsia="ru-RU"/>
              </w:rPr>
              <w:t>н</w:t>
            </w:r>
            <w:r w:rsidRPr="00170B97">
              <w:rPr>
                <w:rFonts w:ascii="Times New Roman" w:eastAsia="Calibri" w:hAnsi="Times New Roman" w:cs="Times New Roman"/>
                <w:lang w:eastAsia="ru-RU"/>
              </w:rPr>
              <w:t>ое</w:t>
            </w:r>
            <w:proofErr w:type="gramEnd"/>
            <w:r w:rsidRPr="00170B97">
              <w:rPr>
                <w:rFonts w:ascii="Times New Roman" w:eastAsia="Calibri" w:hAnsi="Times New Roman" w:cs="Times New Roman"/>
                <w:lang w:eastAsia="ru-RU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21BD9">
              <w:rPr>
                <w:rFonts w:ascii="Times New Roman" w:eastAsia="Calibri" w:hAnsi="Times New Roman" w:cs="Times New Roman"/>
                <w:lang w:eastAsia="ru-RU"/>
              </w:rPr>
              <w:t xml:space="preserve">Обязательные профилактические визиты проводятся </w:t>
            </w:r>
          </w:p>
          <w:p w:rsidR="006A229B" w:rsidRPr="00A21BD9" w:rsidRDefault="006A229B" w:rsidP="00F171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21BD9" w:rsidRPr="00A21BD9" w:rsidRDefault="00A21BD9" w:rsidP="006A22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21BD9" w:rsidRPr="00A21BD9" w:rsidRDefault="00A21BD9" w:rsidP="00A21B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A21BD9" w:rsidRPr="00A21BD9" w:rsidRDefault="00A21BD9" w:rsidP="00A21BD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AA6708" w:rsidRP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соблюдение контролируемыми лицами обязательных требований;</w:t>
      </w:r>
    </w:p>
    <w:p w:rsidR="00AA6708" w:rsidRDefault="00AA6708" w:rsidP="00AA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наличие на официальном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сайте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Муниципальный округ Балезинский район Удмуртской Республики»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актуальной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информации для контролируемых лиц и иных заинтересованных лиц по вопросам соблюдения обязательных требований.</w:t>
      </w:r>
    </w:p>
    <w:p w:rsidR="00A21BD9" w:rsidRPr="00A21BD9" w:rsidRDefault="001C4290" w:rsidP="00A21B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1BD9" w:rsidRPr="00A21BD9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Удмуртская Республика» в состав доклада о виде муниципального контроля в соответствии со статьей 30 </w:t>
      </w:r>
      <w:r w:rsidR="00AA6708" w:rsidRPr="00AA670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31.07.2020 № 248-ФЗ </w:t>
      </w:r>
      <w:r w:rsidR="00A21BD9" w:rsidRPr="00A21BD9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1B0FFB" w:rsidRPr="001B0FFB" w:rsidRDefault="001B0FFB" w:rsidP="002C78CD"/>
    <w:sectPr w:rsidR="001B0FFB" w:rsidRPr="001B0FFB" w:rsidSect="000010FB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129" w:rsidRDefault="00FF0129" w:rsidP="00A21BD9">
      <w:pPr>
        <w:spacing w:after="0" w:line="240" w:lineRule="auto"/>
      </w:pPr>
      <w:r>
        <w:separator/>
      </w:r>
    </w:p>
  </w:endnote>
  <w:endnote w:type="continuationSeparator" w:id="0">
    <w:p w:rsidR="00FF0129" w:rsidRDefault="00FF0129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129" w:rsidRDefault="00FF0129" w:rsidP="00A21BD9">
      <w:pPr>
        <w:spacing w:after="0" w:line="240" w:lineRule="auto"/>
      </w:pPr>
      <w:r>
        <w:separator/>
      </w:r>
    </w:p>
  </w:footnote>
  <w:footnote w:type="continuationSeparator" w:id="0">
    <w:p w:rsidR="00FF0129" w:rsidRDefault="00FF0129" w:rsidP="00A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53F57"/>
    <w:rsid w:val="000809F5"/>
    <w:rsid w:val="000C3459"/>
    <w:rsid w:val="000C6D42"/>
    <w:rsid w:val="000F57C5"/>
    <w:rsid w:val="001040D0"/>
    <w:rsid w:val="00115A59"/>
    <w:rsid w:val="00122FD8"/>
    <w:rsid w:val="00130464"/>
    <w:rsid w:val="00163B5A"/>
    <w:rsid w:val="00170B97"/>
    <w:rsid w:val="00173067"/>
    <w:rsid w:val="00196605"/>
    <w:rsid w:val="001B0FFB"/>
    <w:rsid w:val="001B485B"/>
    <w:rsid w:val="001C4290"/>
    <w:rsid w:val="001C7159"/>
    <w:rsid w:val="00212B7B"/>
    <w:rsid w:val="00227415"/>
    <w:rsid w:val="00234D90"/>
    <w:rsid w:val="002C597F"/>
    <w:rsid w:val="002C78CD"/>
    <w:rsid w:val="00304BEB"/>
    <w:rsid w:val="003A2A71"/>
    <w:rsid w:val="00411AB0"/>
    <w:rsid w:val="0042041A"/>
    <w:rsid w:val="00466CDD"/>
    <w:rsid w:val="00480DB3"/>
    <w:rsid w:val="004A1F4D"/>
    <w:rsid w:val="004A1F7B"/>
    <w:rsid w:val="004D0F87"/>
    <w:rsid w:val="004E227E"/>
    <w:rsid w:val="004F5495"/>
    <w:rsid w:val="00533EBC"/>
    <w:rsid w:val="00544EB8"/>
    <w:rsid w:val="0056671E"/>
    <w:rsid w:val="005819D1"/>
    <w:rsid w:val="005E6550"/>
    <w:rsid w:val="006308B6"/>
    <w:rsid w:val="006400A0"/>
    <w:rsid w:val="00653E3A"/>
    <w:rsid w:val="00684746"/>
    <w:rsid w:val="006A229B"/>
    <w:rsid w:val="006A6BA4"/>
    <w:rsid w:val="006C2B56"/>
    <w:rsid w:val="006E426C"/>
    <w:rsid w:val="006E47F7"/>
    <w:rsid w:val="007127F9"/>
    <w:rsid w:val="007456F1"/>
    <w:rsid w:val="007867E4"/>
    <w:rsid w:val="00790D84"/>
    <w:rsid w:val="0079672E"/>
    <w:rsid w:val="007A32AF"/>
    <w:rsid w:val="007B475A"/>
    <w:rsid w:val="007D3723"/>
    <w:rsid w:val="00821B3F"/>
    <w:rsid w:val="008B75BC"/>
    <w:rsid w:val="00904D82"/>
    <w:rsid w:val="0092077E"/>
    <w:rsid w:val="009542DE"/>
    <w:rsid w:val="00984B4E"/>
    <w:rsid w:val="009B7C6C"/>
    <w:rsid w:val="009C2D66"/>
    <w:rsid w:val="009E6FE9"/>
    <w:rsid w:val="009F1FC2"/>
    <w:rsid w:val="00A21BD9"/>
    <w:rsid w:val="00A53109"/>
    <w:rsid w:val="00A64D72"/>
    <w:rsid w:val="00A8416B"/>
    <w:rsid w:val="00A85BCD"/>
    <w:rsid w:val="00A85D3E"/>
    <w:rsid w:val="00AA6708"/>
    <w:rsid w:val="00AC64FF"/>
    <w:rsid w:val="00B2586F"/>
    <w:rsid w:val="00B56B5B"/>
    <w:rsid w:val="00B85C92"/>
    <w:rsid w:val="00BD02E6"/>
    <w:rsid w:val="00C17AD5"/>
    <w:rsid w:val="00C56CC9"/>
    <w:rsid w:val="00C71434"/>
    <w:rsid w:val="00CA101B"/>
    <w:rsid w:val="00CD4F27"/>
    <w:rsid w:val="00CE58D8"/>
    <w:rsid w:val="00D05718"/>
    <w:rsid w:val="00D3740C"/>
    <w:rsid w:val="00D43DB0"/>
    <w:rsid w:val="00D44BDC"/>
    <w:rsid w:val="00D7408E"/>
    <w:rsid w:val="00D9679F"/>
    <w:rsid w:val="00E2603D"/>
    <w:rsid w:val="00E425D6"/>
    <w:rsid w:val="00E52A9E"/>
    <w:rsid w:val="00E600C7"/>
    <w:rsid w:val="00ED5309"/>
    <w:rsid w:val="00EE38C9"/>
    <w:rsid w:val="00F36999"/>
    <w:rsid w:val="00F44F67"/>
    <w:rsid w:val="00FB1586"/>
    <w:rsid w:val="00FC32B2"/>
    <w:rsid w:val="00FE4020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2EDB7-EADC-496E-AAA3-5A0DD054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7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72</cp:revision>
  <cp:lastPrinted>2022-10-27T12:06:00Z</cp:lastPrinted>
  <dcterms:created xsi:type="dcterms:W3CDTF">2021-04-01T09:12:00Z</dcterms:created>
  <dcterms:modified xsi:type="dcterms:W3CDTF">2022-11-01T12:20:00Z</dcterms:modified>
</cp:coreProperties>
</file>