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0BD" w:rsidRDefault="000820BD" w:rsidP="006F2E1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6F2E17" w:rsidRPr="006F2E17" w:rsidRDefault="006F2E17" w:rsidP="006F2E1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F2E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У Т В Е </w:t>
      </w:r>
      <w:proofErr w:type="gramStart"/>
      <w:r w:rsidRPr="006F2E17">
        <w:rPr>
          <w:rFonts w:ascii="Times New Roman" w:eastAsia="Calibri" w:hAnsi="Times New Roman" w:cs="Times New Roman"/>
          <w:sz w:val="24"/>
          <w:szCs w:val="24"/>
          <w:lang w:eastAsia="ar-SA"/>
        </w:rPr>
        <w:t>Р</w:t>
      </w:r>
      <w:proofErr w:type="gramEnd"/>
      <w:r w:rsidRPr="006F2E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Ж Д Е Н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Ы</w:t>
      </w:r>
    </w:p>
    <w:p w:rsidR="006F2E17" w:rsidRDefault="006F2E17" w:rsidP="006F2E1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F2E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Решением Совета депутатов </w:t>
      </w:r>
    </w:p>
    <w:p w:rsidR="006F2E17" w:rsidRDefault="006F2E17" w:rsidP="006F2E1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F2E17">
        <w:rPr>
          <w:rFonts w:ascii="Times New Roman" w:eastAsia="Calibri" w:hAnsi="Times New Roman" w:cs="Times New Roman"/>
          <w:sz w:val="24"/>
          <w:szCs w:val="24"/>
          <w:lang w:eastAsia="ar-SA"/>
        </w:rPr>
        <w:t>Муниципального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6F2E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образования </w:t>
      </w:r>
    </w:p>
    <w:p w:rsidR="006F2E17" w:rsidRPr="006F2E17" w:rsidRDefault="006F2E17" w:rsidP="006F2E17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6F2E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«Муниципальный округ </w:t>
      </w:r>
    </w:p>
    <w:p w:rsidR="006F2E17" w:rsidRDefault="006F2E17" w:rsidP="006F2E17">
      <w:pPr>
        <w:pStyle w:val="ConsPlusTitle"/>
        <w:jc w:val="right"/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</w:pPr>
      <w:proofErr w:type="spellStart"/>
      <w:r w:rsidRPr="006F2E17"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>Балезинский</w:t>
      </w:r>
      <w:proofErr w:type="spellEnd"/>
      <w:r w:rsidRPr="006F2E17"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 xml:space="preserve"> район</w:t>
      </w:r>
      <w:r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 xml:space="preserve"> </w:t>
      </w:r>
      <w:r w:rsidRPr="006F2E17"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>Удмуртской Республики»</w:t>
      </w:r>
    </w:p>
    <w:p w:rsidR="006F2E17" w:rsidRDefault="006F2E17" w:rsidP="006F2E17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 xml:space="preserve"> от </w:t>
      </w:r>
      <w:r w:rsidR="000820BD"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>31.10.2024 г.</w:t>
      </w:r>
      <w:r w:rsidRPr="006F2E17"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 xml:space="preserve"> № </w:t>
      </w:r>
      <w:r w:rsidR="000820BD"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>30-398</w:t>
      </w:r>
      <w:r w:rsidRPr="006F2E17">
        <w:rPr>
          <w:rFonts w:ascii="Times New Roman" w:eastAsia="Calibri" w:hAnsi="Times New Roman" w:cs="Times New Roman"/>
          <w:b w:val="0"/>
          <w:sz w:val="24"/>
          <w:szCs w:val="24"/>
          <w:lang w:eastAsia="ar-SA"/>
        </w:rPr>
        <w:t xml:space="preserve">  </w:t>
      </w:r>
    </w:p>
    <w:p w:rsidR="006F2E17" w:rsidRDefault="006F2E1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F2E17" w:rsidRDefault="006F2E1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7B7B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47918">
        <w:rPr>
          <w:rFonts w:ascii="Times New Roman" w:hAnsi="Times New Roman" w:cs="Times New Roman"/>
          <w:sz w:val="24"/>
          <w:szCs w:val="24"/>
        </w:rPr>
        <w:t>ОРМАТИВЫ</w:t>
      </w:r>
    </w:p>
    <w:p w:rsidR="007B7B83" w:rsidRDefault="007B7B83" w:rsidP="007B7B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ГРАДОСТРОИТЕЛЬНОГО ПРОЕКТИРОВАНИЯ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69E" w:rsidRPr="00F47918" w:rsidRDefault="007B7B83" w:rsidP="007B7B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F47918">
        <w:rPr>
          <w:rFonts w:ascii="Times New Roman" w:hAnsi="Times New Roman" w:cs="Times New Roman"/>
          <w:sz w:val="24"/>
          <w:szCs w:val="24"/>
        </w:rPr>
        <w:t xml:space="preserve">ОКРУГ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F47918">
        <w:rPr>
          <w:rFonts w:ascii="Times New Roman" w:hAnsi="Times New Roman" w:cs="Times New Roman"/>
          <w:sz w:val="24"/>
          <w:szCs w:val="24"/>
        </w:rPr>
        <w:t xml:space="preserve">АЛЕЗИНСКИЙ РАЙОН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F47918">
        <w:rPr>
          <w:rFonts w:ascii="Times New Roman" w:hAnsi="Times New Roman" w:cs="Times New Roman"/>
          <w:sz w:val="24"/>
          <w:szCs w:val="24"/>
        </w:rPr>
        <w:t xml:space="preserve">ДМУРТСКОЙ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47918">
        <w:rPr>
          <w:rFonts w:ascii="Times New Roman" w:hAnsi="Times New Roman" w:cs="Times New Roman"/>
          <w:sz w:val="24"/>
          <w:szCs w:val="24"/>
        </w:rPr>
        <w:t>ЕСПУБЛИКИ"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7B7B83" w:rsidP="007B7B8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F47918">
        <w:rPr>
          <w:rFonts w:ascii="Times New Roman" w:hAnsi="Times New Roman" w:cs="Times New Roman"/>
          <w:sz w:val="24"/>
          <w:szCs w:val="24"/>
        </w:rPr>
        <w:t xml:space="preserve">аздел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4791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47918">
        <w:rPr>
          <w:rFonts w:ascii="Times New Roman" w:hAnsi="Times New Roman" w:cs="Times New Roman"/>
          <w:sz w:val="24"/>
          <w:szCs w:val="24"/>
        </w:rPr>
        <w:t xml:space="preserve">сновная часть.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F47918">
        <w:rPr>
          <w:rFonts w:ascii="Times New Roman" w:hAnsi="Times New Roman" w:cs="Times New Roman"/>
          <w:sz w:val="24"/>
          <w:szCs w:val="24"/>
        </w:rPr>
        <w:t>асчетные показатели минимально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7918">
        <w:rPr>
          <w:rFonts w:ascii="Times New Roman" w:hAnsi="Times New Roman" w:cs="Times New Roman"/>
          <w:sz w:val="24"/>
          <w:szCs w:val="24"/>
        </w:rPr>
        <w:t>допустимого уровня обеспеченности объектами местного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7918">
        <w:rPr>
          <w:rFonts w:ascii="Times New Roman" w:hAnsi="Times New Roman" w:cs="Times New Roman"/>
          <w:sz w:val="24"/>
          <w:szCs w:val="24"/>
        </w:rPr>
        <w:t>значения муниципального района и расчетные показатели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7918">
        <w:rPr>
          <w:rFonts w:ascii="Times New Roman" w:hAnsi="Times New Roman" w:cs="Times New Roman"/>
          <w:sz w:val="24"/>
          <w:szCs w:val="24"/>
        </w:rPr>
        <w:t>максимально допустимого уровня территориальной доступности</w:t>
      </w:r>
    </w:p>
    <w:p w:rsidR="00B0469E" w:rsidRPr="00F47918" w:rsidRDefault="007B7B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таких объектов для населения муниципального района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B0469E" w:rsidRPr="006F2E17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 xml:space="preserve">Подготовка нормативов градостроительного проектирования муниципального образования "Муниципальный округ </w:t>
      </w:r>
      <w:proofErr w:type="spellStart"/>
      <w:r w:rsidR="002373FD" w:rsidRPr="006F2E17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D17A32" w:rsidRPr="006F2E17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Республики" </w:t>
      </w:r>
      <w:r w:rsidRPr="006F2E17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F2E17" w:rsidRPr="006F2E17">
        <w:rPr>
          <w:rFonts w:ascii="Times New Roman" w:hAnsi="Times New Roman" w:cs="Times New Roman"/>
          <w:sz w:val="24"/>
          <w:szCs w:val="24"/>
        </w:rPr>
        <w:t>Н</w:t>
      </w:r>
      <w:r w:rsidRPr="006F2E17">
        <w:rPr>
          <w:rFonts w:ascii="Times New Roman" w:hAnsi="Times New Roman" w:cs="Times New Roman"/>
          <w:sz w:val="24"/>
          <w:szCs w:val="24"/>
        </w:rPr>
        <w:t xml:space="preserve">ормативы) осуществлена на основании Градостроительного </w:t>
      </w:r>
      <w:hyperlink r:id="rId5">
        <w:r w:rsidRPr="006F2E17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hyperlink r:id="rId6">
        <w:r w:rsidRPr="006F2E1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Удмуртской Республики от 06.03.2014 N 3-РЗ "О градостроительной деятельности в Удмуртской Республике" и </w:t>
      </w:r>
      <w:hyperlink r:id="rId7">
        <w:r w:rsidRPr="006F2E17">
          <w:rPr>
            <w:rFonts w:ascii="Times New Roman" w:hAnsi="Times New Roman" w:cs="Times New Roman"/>
            <w:sz w:val="24"/>
            <w:szCs w:val="24"/>
          </w:rPr>
          <w:t>приказа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15.02.2021 N 71.</w:t>
      </w:r>
    </w:p>
    <w:p w:rsidR="00B0469E" w:rsidRPr="006F2E17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 xml:space="preserve">Нормативы разработаны в соответствии со </w:t>
      </w:r>
      <w:hyperlink r:id="rId8">
        <w:r w:rsidRPr="006F2E17">
          <w:rPr>
            <w:rFonts w:ascii="Times New Roman" w:hAnsi="Times New Roman" w:cs="Times New Roman"/>
            <w:sz w:val="24"/>
            <w:szCs w:val="24"/>
          </w:rPr>
          <w:t>статьей 8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Российской Федерации в целях реализации полномочий Администрации муниципального образования "Муниципальный округ </w:t>
      </w:r>
      <w:proofErr w:type="spellStart"/>
      <w:r w:rsidR="002373FD" w:rsidRPr="006F2E17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6F2E17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Республики" и включения нормативов в систему нормативных документов, регламентирующих градостроительную деятельность на территории муниципального образования "Муниципальный округ </w:t>
      </w:r>
      <w:proofErr w:type="spellStart"/>
      <w:r w:rsidR="002373FD" w:rsidRPr="006F2E17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D17A32" w:rsidRPr="006F2E17">
        <w:rPr>
          <w:rFonts w:ascii="Times New Roman" w:hAnsi="Times New Roman" w:cs="Times New Roman"/>
          <w:sz w:val="24"/>
          <w:szCs w:val="24"/>
        </w:rPr>
        <w:t xml:space="preserve"> </w:t>
      </w:r>
      <w:r w:rsidRPr="006F2E17">
        <w:rPr>
          <w:rFonts w:ascii="Times New Roman" w:hAnsi="Times New Roman" w:cs="Times New Roman"/>
          <w:sz w:val="24"/>
          <w:szCs w:val="24"/>
        </w:rPr>
        <w:t xml:space="preserve">район Удмуртской Республики" (далее - </w:t>
      </w:r>
      <w:proofErr w:type="spellStart"/>
      <w:r w:rsidR="002373FD" w:rsidRPr="006F2E17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6F2E17">
        <w:rPr>
          <w:rFonts w:ascii="Times New Roman" w:hAnsi="Times New Roman" w:cs="Times New Roman"/>
          <w:sz w:val="24"/>
          <w:szCs w:val="24"/>
        </w:rPr>
        <w:t xml:space="preserve"> район, муниципальный</w:t>
      </w:r>
      <w:r w:rsidR="00D17A32" w:rsidRPr="006F2E17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6F2E17">
        <w:rPr>
          <w:rFonts w:ascii="Times New Roman" w:hAnsi="Times New Roman" w:cs="Times New Roman"/>
          <w:sz w:val="24"/>
          <w:szCs w:val="24"/>
        </w:rPr>
        <w:t>).</w:t>
      </w:r>
    </w:p>
    <w:p w:rsidR="00B0469E" w:rsidRPr="006F2E17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 xml:space="preserve">Нормативы устанавливают совокупность расчетных показателей минимально допустимого уровня обеспеченности объектами местного значения </w:t>
      </w:r>
      <w:proofErr w:type="spellStart"/>
      <w:r w:rsidR="00394ED5" w:rsidRPr="006F2E17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6F2E17">
        <w:rPr>
          <w:rFonts w:ascii="Times New Roman" w:hAnsi="Times New Roman" w:cs="Times New Roman"/>
          <w:sz w:val="24"/>
          <w:szCs w:val="24"/>
        </w:rPr>
        <w:t xml:space="preserve"> района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394ED5" w:rsidRPr="006F2E17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6F2E17">
        <w:rPr>
          <w:rFonts w:ascii="Times New Roman" w:hAnsi="Times New Roman" w:cs="Times New Roman"/>
          <w:sz w:val="24"/>
          <w:szCs w:val="24"/>
        </w:rPr>
        <w:t xml:space="preserve"> района в целях обеспечения благоприятных условий жизнедеятельности населения (далее - совокупность расчетных показателей, расчетные показатели).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2E17">
        <w:rPr>
          <w:rFonts w:ascii="Times New Roman" w:hAnsi="Times New Roman" w:cs="Times New Roman"/>
          <w:sz w:val="24"/>
          <w:szCs w:val="24"/>
        </w:rPr>
        <w:t xml:space="preserve">Расчетные показатели минимально допустимого уровня обеспеченности объектами местного значения населения </w:t>
      </w:r>
      <w:proofErr w:type="spellStart"/>
      <w:r w:rsidR="002373FD" w:rsidRPr="006F2E17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6F2E17">
        <w:rPr>
          <w:rFonts w:ascii="Times New Roman" w:hAnsi="Times New Roman" w:cs="Times New Roman"/>
          <w:sz w:val="24"/>
          <w:szCs w:val="24"/>
        </w:rPr>
        <w:t xml:space="preserve"> района, устанавливаемые настоящими нормативами, приняты не ниже предельных значений расчетных показателей минимально допустимого уровня обеспеченности, установленных в </w:t>
      </w:r>
      <w:hyperlink r:id="rId9">
        <w:r w:rsidRPr="006F2E17">
          <w:rPr>
            <w:rFonts w:ascii="Times New Roman" w:hAnsi="Times New Roman" w:cs="Times New Roman"/>
            <w:sz w:val="24"/>
            <w:szCs w:val="24"/>
          </w:rPr>
          <w:t>Нормативах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градостроительного проектирования Удмуртской Республики, утвержденных постановлением Правительства Удмуртской Республики от 04.06.2019 N 228 (далее - Нормативы градостроительного </w:t>
      </w:r>
      <w:r w:rsidRPr="00F47918">
        <w:rPr>
          <w:rFonts w:ascii="Times New Roman" w:hAnsi="Times New Roman" w:cs="Times New Roman"/>
          <w:sz w:val="24"/>
          <w:szCs w:val="24"/>
        </w:rPr>
        <w:t>проектирования Республики).</w:t>
      </w:r>
      <w:proofErr w:type="gramEnd"/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Нормативы разработаны в соответствии с требованиями законодательства о градостроительной деятельности Российской Федерации и Удмуртской Республики, технических регламентов, нормативных документов, регулирующих градостроительство.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Применение настоящих нормативов не заменяет и не исключает применения требований технических регламентов, национальных стандартов, сводов правил, правил и требований, установленных органами государственного контроля (надзора).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Настоящие нормативы устанавливают требования, обязательные для всех субъектов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 xml:space="preserve">градостроительных отношений, осуществляющих свою деятельность на территории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Республики, независимо от их организационно-правовой формы.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По расчетным показателям, содержащим указание на рекомендательное применение, допускается отклонение от установленных значений при условии дополнительного обоснования причин и размеров отклонений, в том числе в материалах по обоснованию документов территориального планирования и (или) документации по планировке территории.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 отсутствии расчетных показателей для отдельных объектов следует руководствоваться Нормативами градостроительного проектирования Удмуртской Республики, нормативными правовыми и нормативно-техническими документами Российской Федерации.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2. Перечень объектов местного значения</w:t>
      </w:r>
    </w:p>
    <w:p w:rsidR="00B0469E" w:rsidRPr="006F2E17" w:rsidRDefault="00B0469E" w:rsidP="007B7B8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2E17">
        <w:rPr>
          <w:rFonts w:ascii="Times New Roman" w:hAnsi="Times New Roman" w:cs="Times New Roman"/>
          <w:sz w:val="24"/>
          <w:szCs w:val="24"/>
        </w:rPr>
        <w:t xml:space="preserve">Объекты местного значения муниципального района, отображаемые в генеральном плане </w:t>
      </w:r>
      <w:r w:rsidR="006F2E17">
        <w:rPr>
          <w:rFonts w:ascii="Times New Roman" w:hAnsi="Times New Roman" w:cs="Times New Roman"/>
          <w:sz w:val="24"/>
          <w:szCs w:val="24"/>
        </w:rPr>
        <w:t>муниципального образования (далее – МО)</w:t>
      </w:r>
      <w:r w:rsidRPr="006F2E17">
        <w:rPr>
          <w:rFonts w:ascii="Times New Roman" w:hAnsi="Times New Roman" w:cs="Times New Roman"/>
          <w:sz w:val="24"/>
          <w:szCs w:val="24"/>
        </w:rPr>
        <w:t xml:space="preserve">, определяются в соответствии с требованиями Градостроительного </w:t>
      </w:r>
      <w:hyperlink r:id="rId10">
        <w:r w:rsidRPr="006F2E17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1">
        <w:r w:rsidRPr="006F2E1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 и </w:t>
      </w:r>
      <w:hyperlink r:id="rId12">
        <w:r w:rsidRPr="006F2E1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Удмуртской Республики от 06.03.2014 N 3-РЗ "О градостроительной деятельности в Удмуртской Республике".</w:t>
      </w:r>
      <w:proofErr w:type="gramEnd"/>
    </w:p>
    <w:p w:rsidR="00B0469E" w:rsidRPr="006F2E17" w:rsidRDefault="00B0469E" w:rsidP="007B7B8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>Расчетные показатели минимально допустимого уровня обеспеченности и максимально допустимого уровня территориальной доступности объектов местного значения, подлежащих отображению в схеме территориального планирования муниципального района, приведены в соответствующих разделах настоящих нормативов.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B42D2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3. Функциональное зонирование территории</w:t>
      </w:r>
      <w:r w:rsidR="00B42D2B">
        <w:rPr>
          <w:rFonts w:ascii="Times New Roman" w:hAnsi="Times New Roman" w:cs="Times New Roman"/>
          <w:sz w:val="24"/>
          <w:szCs w:val="24"/>
        </w:rPr>
        <w:t xml:space="preserve"> </w:t>
      </w:r>
      <w:r w:rsidRPr="00F47918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 территориальном планировании отображаются</w:t>
      </w:r>
      <w:r w:rsidR="006F2E17">
        <w:rPr>
          <w:rFonts w:ascii="Times New Roman" w:hAnsi="Times New Roman" w:cs="Times New Roman"/>
          <w:sz w:val="24"/>
          <w:szCs w:val="24"/>
        </w:rPr>
        <w:t xml:space="preserve"> границы муниципального района</w:t>
      </w:r>
      <w:r w:rsidRPr="00F47918">
        <w:rPr>
          <w:rFonts w:ascii="Times New Roman" w:hAnsi="Times New Roman" w:cs="Times New Roman"/>
          <w:sz w:val="24"/>
          <w:szCs w:val="24"/>
        </w:rPr>
        <w:t>. При подготовке схемы территориального планирования муниципального район функциональное зонирование осуществляется в границах межселенных территорий.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При подготовке схемы территориального планирования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функциональное зонирование его территорий не осуществляется в связи с отсутствием в границах муниципального образования межселенных территорий.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Зонирование территории муниципального района осуществляет с учетом системы формируемых центров обслуживания и зон их влияния.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В целях создания экономически целесообразной ступенчатой системы культурно-бытового обслуживания населения муниципального района за основу при определении состава объектов обслуживания, размещаемых на территории муниципального района, принимается периодичность посещения различных объектов. Всего выделяется три уровня периодичности посещения с учетом обеспеченности объектами обслуживания, которые приведены в таблице 3.1.</w:t>
      </w:r>
    </w:p>
    <w:p w:rsidR="000820BD" w:rsidRDefault="000820BD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47918">
        <w:rPr>
          <w:rFonts w:ascii="Times New Roman" w:hAnsi="Times New Roman" w:cs="Times New Roman"/>
          <w:sz w:val="24"/>
          <w:szCs w:val="24"/>
        </w:rPr>
        <w:t>Таблица 3.1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16"/>
      </w:tblGrid>
      <w:tr w:rsidR="00B0469E" w:rsidRPr="00F47918" w:rsidTr="00F47918">
        <w:tc>
          <w:tcPr>
            <w:tcW w:w="221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уровня</w:t>
            </w:r>
          </w:p>
        </w:tc>
        <w:tc>
          <w:tcPr>
            <w:tcW w:w="7916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Нормативные параметры</w:t>
            </w:r>
          </w:p>
        </w:tc>
      </w:tr>
      <w:tr w:rsidR="00B0469E" w:rsidRPr="00F47918" w:rsidTr="00F47918">
        <w:tc>
          <w:tcPr>
            <w:tcW w:w="221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Повседневное обслуживание</w:t>
            </w:r>
          </w:p>
        </w:tc>
        <w:tc>
          <w:tcPr>
            <w:tcW w:w="7916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Объекты, посещаемые населением не реже одного раза в неделю, или те, которые должны быть расположены в непосредственной близости к местам проживания и работы населения. Данные объекты должны обслуживать население, проживающее в радиусе пешеходной (транспортной) доступности 10 - 20 минут от них, а также за счет выездных форм</w:t>
            </w:r>
          </w:p>
        </w:tc>
      </w:tr>
      <w:tr w:rsidR="00B0469E" w:rsidRPr="00F47918" w:rsidTr="00F47918">
        <w:tc>
          <w:tcPr>
            <w:tcW w:w="221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Периодическое обслуживание</w:t>
            </w:r>
          </w:p>
        </w:tc>
        <w:tc>
          <w:tcPr>
            <w:tcW w:w="7916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Объекты, посещаемые населением не реже одного раза в месяц. На перспективу данные объекты должны размещаться в районном центре, центрах и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подцентрах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расселения и обслуживать население, 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проживающее в пределах транспортной доступности 30 мин. - 2 ч.</w:t>
            </w:r>
          </w:p>
        </w:tc>
      </w:tr>
      <w:tr w:rsidR="00B0469E" w:rsidRPr="00F47918" w:rsidTr="00F47918">
        <w:tc>
          <w:tcPr>
            <w:tcW w:w="221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Эпизодическое обслуживание</w:t>
            </w:r>
          </w:p>
        </w:tc>
        <w:tc>
          <w:tcPr>
            <w:tcW w:w="7916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Объекты, посещаемые населением муниципального района реже одного раза в месяц. Размещаются в республиканском центре, межрайонных центрах обслуживания. Радиус территориальной доступности - не более 2 ч.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С учетом установленных уровней обслуживания населения в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районе следует формировать многофункциональную систему обслуживания в соответствии с таблицей 3.2.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3.2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11"/>
        <w:gridCol w:w="7916"/>
      </w:tblGrid>
      <w:tr w:rsidR="00B0469E" w:rsidRPr="00F47918" w:rsidTr="00F47918">
        <w:tc>
          <w:tcPr>
            <w:tcW w:w="221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центра обслуживания</w:t>
            </w:r>
          </w:p>
        </w:tc>
        <w:tc>
          <w:tcPr>
            <w:tcW w:w="7916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Нормативные параметры</w:t>
            </w:r>
          </w:p>
        </w:tc>
      </w:tr>
      <w:tr w:rsidR="00B0469E" w:rsidRPr="00F47918" w:rsidTr="00F47918">
        <w:tc>
          <w:tcPr>
            <w:tcW w:w="2211" w:type="dxa"/>
          </w:tcPr>
          <w:p w:rsidR="00B0469E" w:rsidRPr="00F47918" w:rsidRDefault="00B0469E" w:rsidP="002373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Центр муниципального района (</w:t>
            </w:r>
            <w:r w:rsidR="00D17A32" w:rsidRPr="00F47918">
              <w:rPr>
                <w:rFonts w:ascii="Times New Roman" w:hAnsi="Times New Roman" w:cs="Times New Roman"/>
                <w:sz w:val="24"/>
                <w:szCs w:val="24"/>
              </w:rPr>
              <w:t>посёлок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73FD" w:rsidRPr="00F47918">
              <w:rPr>
                <w:rFonts w:ascii="Times New Roman" w:hAnsi="Times New Roman" w:cs="Times New Roman"/>
                <w:sz w:val="24"/>
                <w:szCs w:val="24"/>
              </w:rPr>
              <w:t>Балезино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916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Центр должен концентрировать объекты повседневного и периодического обслуживания населения муниципального района в радиусе транспортной доступности 1,5 - 2 ч.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При превышении этого радиуса следует создавать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подцентры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обслуживания.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Уровень центра - набор ряда объектов для повседневного и периодического обслуживания населения</w:t>
            </w:r>
          </w:p>
        </w:tc>
      </w:tr>
      <w:tr w:rsidR="00D334E2" w:rsidRPr="00F47918" w:rsidTr="00F47918">
        <w:tc>
          <w:tcPr>
            <w:tcW w:w="2211" w:type="dxa"/>
          </w:tcPr>
          <w:p w:rsidR="00D334E2" w:rsidRPr="00F47918" w:rsidRDefault="00D334E2" w:rsidP="00D334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Центр территориального управления</w:t>
            </w:r>
          </w:p>
        </w:tc>
        <w:tc>
          <w:tcPr>
            <w:tcW w:w="7916" w:type="dxa"/>
          </w:tcPr>
          <w:p w:rsidR="00D334E2" w:rsidRPr="00F47918" w:rsidRDefault="00D334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Уровень центра - полный набор объектов повседневного обслуживания, расположенных в непосредственной близости к местам проживания и работы населения. Радиус обслуживания - в пределах 10 - 20-минутной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пешеходно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-транспортной доступности</w:t>
            </w:r>
          </w:p>
        </w:tc>
      </w:tr>
      <w:tr w:rsidR="00B0469E" w:rsidRPr="00F47918" w:rsidTr="00F47918">
        <w:tc>
          <w:tcPr>
            <w:tcW w:w="221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Центр территориального отдела</w:t>
            </w:r>
          </w:p>
        </w:tc>
        <w:tc>
          <w:tcPr>
            <w:tcW w:w="7916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Уровень центра - полный набор объектов повседневного обслуживания, расположенных в непосредственной близости к местам проживания и работы населения. Радиус обслуживания - в пределах 10 - 20-минутной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пешеходно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-транспортной доступности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 функциональном зонировании территории муниципального образования учитываются зоны с особыми условиями использования территорий, из перечня установленных в соответствии с законодательством Российской Федерации: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1) зоны охраны объектов культурного наследия;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2) защитная зона объекта культурного наследия;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3) охранная зона объектов электроэнергетики (объектов электросетевого хозяйства и объектов по производству электрической энергии);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4) придорожные полосы автомобильных дорог;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5) охранная зона трубопроводов (газопроводов, нефтепроводов и нефтепродуктопроводов,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аммиакопроводов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>);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6) охранная зона линий и сооружений связи;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7) зона охраняемого объекта;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8) охранная зона особо охраняемой природной территории (государственного природного заповедника, национального парка, природного парка, памятника природы);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9)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водоохранная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(рыбоохранная) зона;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10) прибрежная защитная полоса;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11) округ санитарной (горно-санитарной) охраны лечебно-оздоровительных местностей, курортов и природных лечебных ресурсов;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lastRenderedPageBreak/>
        <w:t xml:space="preserve">12) зоны санитарной охраны источников питьевого </w:t>
      </w:r>
      <w:r w:rsidRPr="006F2E17">
        <w:rPr>
          <w:rFonts w:ascii="Times New Roman" w:hAnsi="Times New Roman" w:cs="Times New Roman"/>
          <w:sz w:val="24"/>
          <w:szCs w:val="24"/>
        </w:rPr>
        <w:t xml:space="preserve">и хозяйственно-бытового водоснабжения, а также устанавливаемые в случаях, предусмотренных Водным </w:t>
      </w:r>
      <w:hyperlink r:id="rId13">
        <w:r w:rsidRPr="006F2E17">
          <w:rPr>
            <w:rFonts w:ascii="Times New Roman" w:hAnsi="Times New Roman" w:cs="Times New Roman"/>
            <w:sz w:val="24"/>
            <w:szCs w:val="24"/>
          </w:rPr>
          <w:t>кодексом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Российской </w:t>
      </w:r>
      <w:r w:rsidRPr="00F47918">
        <w:rPr>
          <w:rFonts w:ascii="Times New Roman" w:hAnsi="Times New Roman" w:cs="Times New Roman"/>
          <w:sz w:val="24"/>
          <w:szCs w:val="24"/>
        </w:rPr>
        <w:t>Федерации, в отношении подземных водных объектов зоны специальной охраны;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13) зоны затопления и подтопления;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14) санитарно-защитная зона;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15) охранная зона пунктов государственной геодезической сети, государственной нивелирной сети и государственной гравиметрической сети;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16) зона наблюдения;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17) зона безопасности с особым правовым режимом;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18)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рыбохозяйственная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заповедная зона;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19) зона минимальных расстояний до магистральных или промышленных трубопроводов (газопроводов, нефтепроводов и нефтепродуктопроводов,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аммиакопроводов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>);</w:t>
      </w:r>
    </w:p>
    <w:p w:rsidR="00B0469E" w:rsidRPr="00F47918" w:rsidRDefault="00B0469E" w:rsidP="0044473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20) охранная зона тепловых сетей.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Границы зон с особыми условиями использования территорий, в том числе границы территорий объектов культурного наследия, устанавливаемые в соответствии с законодательством Российской Федерации, могут не совпадать с границами функциональных зон, установленных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территорий муниципального района.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Перспективы развития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 в документах территориального планирования (схеме территориального планирования муниципального района, генеральных планах </w:t>
      </w:r>
      <w:r w:rsidR="006F2E17">
        <w:rPr>
          <w:rFonts w:ascii="Times New Roman" w:hAnsi="Times New Roman" w:cs="Times New Roman"/>
          <w:sz w:val="24"/>
          <w:szCs w:val="24"/>
        </w:rPr>
        <w:t>МО</w:t>
      </w:r>
      <w:r w:rsidRPr="00F47918">
        <w:rPr>
          <w:rFonts w:ascii="Times New Roman" w:hAnsi="Times New Roman" w:cs="Times New Roman"/>
          <w:sz w:val="24"/>
          <w:szCs w:val="24"/>
        </w:rPr>
        <w:t>) с учетом потребности в резервных территориях.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 составлении баланса существующего и проектного использования территорий поселений следует учитывать резервные территории.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сооружениями, функциональное назначение которых не соответствует утвержденным документам территориального планирования.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Включение земельных участков в состав резервных территорий не влечет прекращения или изменения прав на такие земельные участки у их правообладателей до изъятия этих земельных участков для государственных или муниципальных нужд в порядке, установленном законодательством.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B42D2B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4. Расчетные показатели объектов местного значения</w:t>
      </w:r>
      <w:r w:rsidR="00B42D2B">
        <w:rPr>
          <w:rFonts w:ascii="Times New Roman" w:hAnsi="Times New Roman" w:cs="Times New Roman"/>
          <w:sz w:val="24"/>
          <w:szCs w:val="24"/>
        </w:rPr>
        <w:t xml:space="preserve"> </w:t>
      </w:r>
      <w:r w:rsidRPr="00F47918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инженерной инфраструктуры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инженерной инфраструктуры подразделяются на следующие типы: объекты водоснабжения, объекты водоотведения сточных вод, поверхностных сточных вод и дренажных вод, объекты тепло-, энергоснабжения, объекты электроснабжения, объекты газоснабжения, связи, радиовещания и телевидения, пожарной и охранной сигнализации.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инженерной инфраструктуры каждого типа подразделяются на линейные объекты и сооружения.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Инженерные системы следует рассчитывать исходя из соответствующих нормативов расчетной плотности населения, принятой на расчетный срок, удельного среднесуточного норматива потребления и общей площади жилой застройки, определяемой документацией.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Инженерные сети следует размещать преимущественно в пределах поперечных профилей улиц и дорог: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- под тротуарами или разделительными полосами - инженерные сети в коллекторах, каналах или тоннелях;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- в разделительных полосах - тепловые сети, водопровод, газопровод, хозяйственную и дождевую канализацию.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На полосе между красной линией и линией застройки следует размещать газовые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сети низкого давления и кабельные сети (силовые, связи, сигнализации и диспетчеризации).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Применение открытых водоотводящих устройств - канав, кюветов, лотков допускается в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>районах одно-, двухэтажной застройки, а также на территории парков с устройством мостиков или труб на пересечении с улицами, дорогами, проездами и тротуарами.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Охранные зоны наземных и надземных инженерных коммуникаций (трубопроводов) и сооружений устанавливаются по обе стороны от наружной стенки трубы или конструкции линейного объекта и ограждения сооружения на поверхность участка земли и воздушного пространства на высоту, соответствующую высоте конструкции.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Охранная зона вдоль воздушных линий электропередачи (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>) устанавливается в виде воздушного пространства над землей, ограниченного параллельными вертикальными плоскостями, отстоящими по обе стороны линии на расстояние от крайних проводов по горизонтали в зависимости от проектного номинального класса напряжения.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Охранная зона вдоль подземных кабельных линий электропередачи устанавливается в виде участка земли, ограниченного параллельными вертикальными плоскостями, отстоящими по обе стороны линии на расстоянии по горизонтали 1 м от крайних кабелей.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Охранные зоны инженерных коммуникаций и сооружений, порядок и условия использования территории в их границах устанавливаются соответствующими правилами охраны.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Условия и правила использования территории зоны санитарной охраны сооружений и санитарно-защитных полос линейных объектов системы водоснабжения определяются федеральным законодательством в области охраны источников питьевого водоснабжения.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Размещение подземных инженерных коммуникаций по отношению к зданиям, сооружениям, зеленым насаждениям и их взаимное расположение должны исключать возможность подмыва оснований фундаментов зданий и сооружений, повреждения близко расположенных сетей и зеленых насаждений, а также обеспечивать возможность ремонта сетей без затруднений для движения городского транспорта.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Расстояния по горизонтали от крайних проводов вновь сооружаемых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при не отклоненном их положении до границ земельных участков жилых и общественных зданий, до детских игровых площадок, площадок отдыха и занятий физкультурой, хозяйственных площадок или до ближайших выступающих частей жилых и общественных зданий при отсутствии земельных участков со стороны прохождения ВЛ, а также до границ приусадебных земельных участков индивидуальных домов и коллективных садовых участков должны быть не менее расстояний для охранных зон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соответствующих напряжений.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Прохождение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над зданиями и сооружениями, не допускается.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Прохождение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по территориям стадионов, учебных и детских учреждений не допускается.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>В охранной зоне и зоне санитарной охраны (санитарно-защитной полосе) инженерных коммуникаций и сооружений без согласования с их правообладателем, а также органами, осуществляющими контроль и надзор за состоянием, содержанием и эксплуатацией объектов инженерной инфраструктуры, запрещается размещать объекты капитального и некапитального строительства (в том числе плоскостные - открытые стоянки автотранспорта, спортивные и детские площадки, площадки для отдыха и т.п.), осуществлять работы по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благоустройству, озеленению и вертикальной планировке территории без проведения мероприятий, направленных на защиту и обеспечение условий безопасного функционирования объектов инженерной инфраструктуры.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>Земельные участки, которые включены в состав охранных зон инженерных коммуникаций, санитарно-защитных полос и зон санитарной охраны, у собственников земельных участков, землепользователей, землевладельцев и арендаторов земельных участков не изымаются, но в их границах может быть введен особый режим их использования, ограничивающий или запрещающий те виды деятельности, которые несовместимы с целями установления зон.</w:t>
      </w:r>
      <w:proofErr w:type="gramEnd"/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Комплексы водопроводных сооружений для подготовки и хранения питьевой воды (станции водоподготовки (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), водозаборные узлы поверхностной и подземной воды, водорегулирующие узлы) размещаются на специально выделенных для целей водоснабжения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>территориях зон инженерной инфраструктуры, вне территории промышленных предприятий или жилой застройки, за границей санитарно-защитных зон объектов производственно-коммунального назначения.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Линейные объекты системы водоснабжения (водопроводные сети) размещаются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подземно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>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При проектировании линейных объектов системы водоснабжения следует руководствоваться </w:t>
      </w:r>
      <w:r w:rsidR="001E473C" w:rsidRPr="001E473C">
        <w:rPr>
          <w:rFonts w:ascii="Times New Roman" w:hAnsi="Times New Roman" w:cs="Times New Roman"/>
          <w:sz w:val="24"/>
          <w:szCs w:val="24"/>
        </w:rPr>
        <w:t>СП 31.13330.2021 "СНиП 2.04.02-84* Водоснабжение. Наружные сети и сооружения"</w:t>
      </w:r>
      <w:r w:rsidRPr="00F47918">
        <w:rPr>
          <w:rFonts w:ascii="Times New Roman" w:hAnsi="Times New Roman" w:cs="Times New Roman"/>
          <w:sz w:val="24"/>
          <w:szCs w:val="24"/>
        </w:rPr>
        <w:t>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Снабжение зданий с постоянным и временным пребыванием людей питьевой водой должно быть предусмотрено от централизованной сети водоснабжения. В районах без централизованных инженерных сетей для зданий до 3 этажей, а также павильонов (с требуемым наличием источника водоснабжения) допускается предусматривать индивидуальные и коллективные источники водоснабжения из подземных водоносных горизонтов или из водоемов из расчета суточного расхода хозяйственно-питьевой воды не менее 60 л на человека.</w:t>
      </w:r>
    </w:p>
    <w:p w:rsidR="00B0469E" w:rsidRPr="006F2E17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Соединение </w:t>
      </w:r>
      <w:r w:rsidRPr="006F2E17">
        <w:rPr>
          <w:rFonts w:ascii="Times New Roman" w:hAnsi="Times New Roman" w:cs="Times New Roman"/>
          <w:sz w:val="24"/>
          <w:szCs w:val="24"/>
        </w:rPr>
        <w:t>сетей хозяйственно-питьевого водопровода с сетями водопроводов, подающих воду не питьевого качества, не допускается.</w:t>
      </w:r>
    </w:p>
    <w:p w:rsidR="00B0469E" w:rsidRPr="006F2E17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2E17">
        <w:rPr>
          <w:rFonts w:ascii="Times New Roman" w:hAnsi="Times New Roman" w:cs="Times New Roman"/>
          <w:sz w:val="24"/>
          <w:szCs w:val="24"/>
        </w:rPr>
        <w:t xml:space="preserve">Источники водоснабжения, водопроводные сооружения (водозаборные, водоподготовки и водопроводные станции), а также водоводы должны иметь зоны санитарной охраны, санитарно-защитные полосы в соответствие с требованиями </w:t>
      </w:r>
      <w:hyperlink r:id="rId14">
        <w:r w:rsidRPr="006F2E17">
          <w:rPr>
            <w:rFonts w:ascii="Times New Roman" w:hAnsi="Times New Roman" w:cs="Times New Roman"/>
            <w:sz w:val="24"/>
            <w:szCs w:val="24"/>
          </w:rPr>
          <w:t>СанПиН 2.1.4.</w:t>
        </w:r>
        <w:r w:rsidR="00AE1D95">
          <w:rPr>
            <w:rFonts w:ascii="Times New Roman" w:hAnsi="Times New Roman" w:cs="Times New Roman"/>
            <w:sz w:val="24"/>
            <w:szCs w:val="24"/>
          </w:rPr>
          <w:t>3684</w:t>
        </w:r>
        <w:r w:rsidRPr="006F2E17">
          <w:rPr>
            <w:rFonts w:ascii="Times New Roman" w:hAnsi="Times New Roman" w:cs="Times New Roman"/>
            <w:sz w:val="24"/>
            <w:szCs w:val="24"/>
          </w:rPr>
          <w:t>-</w:t>
        </w:r>
      </w:hyperlink>
      <w:r w:rsidR="00AE1D95">
        <w:rPr>
          <w:rFonts w:ascii="Times New Roman" w:hAnsi="Times New Roman" w:cs="Times New Roman"/>
          <w:sz w:val="24"/>
          <w:szCs w:val="24"/>
        </w:rPr>
        <w:t>21</w:t>
      </w:r>
      <w:r w:rsidRPr="006F2E17">
        <w:rPr>
          <w:rFonts w:ascii="Times New Roman" w:hAnsi="Times New Roman" w:cs="Times New Roman"/>
          <w:sz w:val="24"/>
          <w:szCs w:val="24"/>
        </w:rPr>
        <w:t xml:space="preserve"> "</w:t>
      </w:r>
      <w:r w:rsidR="00AE1D95">
        <w:rPr>
          <w:rFonts w:ascii="Times New Roman" w:hAnsi="Times New Roman" w:cs="Times New Roman"/>
          <w:sz w:val="24"/>
          <w:szCs w:val="24"/>
        </w:rPr>
        <w:t>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</w:t>
      </w:r>
      <w:r w:rsidRPr="006F2E17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B0469E" w:rsidRPr="006F2E17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>Противопожарный водопровод допускается объединять с хозяйственно-питьевым или производственным водопроводом.</w:t>
      </w:r>
    </w:p>
    <w:p w:rsidR="00B0469E" w:rsidRPr="006F2E17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>К источникам наружного противопожарного водоснабжения относятся:</w:t>
      </w:r>
    </w:p>
    <w:p w:rsidR="00B0469E" w:rsidRPr="006F2E17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>- наружные водопроводные сети с пожарными гидрантами;</w:t>
      </w:r>
    </w:p>
    <w:p w:rsidR="00B0469E" w:rsidRPr="006F2E17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>- водные объекты, используемые для целей пожаротушения в соответствии с законодательством Российской Федерации.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F2E17">
        <w:rPr>
          <w:rFonts w:ascii="Times New Roman" w:hAnsi="Times New Roman" w:cs="Times New Roman"/>
          <w:sz w:val="24"/>
          <w:szCs w:val="24"/>
        </w:rPr>
        <w:t xml:space="preserve">Противопожарный водопровод должен предусматриваться в соответствии с требованиями Федерального </w:t>
      </w:r>
      <w:hyperlink r:id="rId15">
        <w:r w:rsidRPr="006F2E17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F2E17">
        <w:rPr>
          <w:rFonts w:ascii="Times New Roman" w:hAnsi="Times New Roman" w:cs="Times New Roman"/>
          <w:sz w:val="24"/>
          <w:szCs w:val="24"/>
        </w:rPr>
        <w:t xml:space="preserve"> от 22.07.2008 N 123-ФЗ "Технический регламент о требованиях пожарной безопасности</w:t>
      </w:r>
      <w:r w:rsidRPr="00F47918">
        <w:rPr>
          <w:rFonts w:ascii="Times New Roman" w:hAnsi="Times New Roman" w:cs="Times New Roman"/>
          <w:sz w:val="24"/>
          <w:szCs w:val="24"/>
        </w:rPr>
        <w:t>".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 проектировании системы наружного противопожарного водоснабжения следует руководствоваться СП 8.13130</w:t>
      </w:r>
      <w:r w:rsidR="00ED72E9">
        <w:rPr>
          <w:rFonts w:ascii="Times New Roman" w:hAnsi="Times New Roman" w:cs="Times New Roman"/>
          <w:sz w:val="24"/>
          <w:szCs w:val="24"/>
        </w:rPr>
        <w:t xml:space="preserve"> </w:t>
      </w:r>
      <w:r w:rsidR="00ED72E9" w:rsidRPr="00ED72E9">
        <w:rPr>
          <w:rFonts w:ascii="Times New Roman" w:hAnsi="Times New Roman" w:cs="Times New Roman"/>
          <w:sz w:val="24"/>
          <w:szCs w:val="24"/>
        </w:rPr>
        <w:t>"</w:t>
      </w:r>
      <w:r w:rsidR="00ED72E9">
        <w:rPr>
          <w:rFonts w:ascii="Times New Roman" w:hAnsi="Times New Roman" w:cs="Times New Roman"/>
          <w:sz w:val="24"/>
          <w:szCs w:val="24"/>
        </w:rPr>
        <w:t>С</w:t>
      </w:r>
      <w:r w:rsidR="00ED72E9" w:rsidRPr="00ED72E9">
        <w:rPr>
          <w:rFonts w:ascii="Times New Roman" w:hAnsi="Times New Roman" w:cs="Times New Roman"/>
          <w:sz w:val="24"/>
          <w:szCs w:val="24"/>
        </w:rPr>
        <w:t xml:space="preserve">истемы противопожарной защиты. </w:t>
      </w:r>
      <w:r w:rsidR="00ED72E9">
        <w:rPr>
          <w:rFonts w:ascii="Times New Roman" w:hAnsi="Times New Roman" w:cs="Times New Roman"/>
          <w:sz w:val="24"/>
          <w:szCs w:val="24"/>
        </w:rPr>
        <w:t>Н</w:t>
      </w:r>
      <w:r w:rsidR="00ED72E9" w:rsidRPr="00ED72E9">
        <w:rPr>
          <w:rFonts w:ascii="Times New Roman" w:hAnsi="Times New Roman" w:cs="Times New Roman"/>
          <w:sz w:val="24"/>
          <w:szCs w:val="24"/>
        </w:rPr>
        <w:t xml:space="preserve">аружное противопожарное водоснабжение. </w:t>
      </w:r>
      <w:r w:rsidR="00ED72E9">
        <w:rPr>
          <w:rFonts w:ascii="Times New Roman" w:hAnsi="Times New Roman" w:cs="Times New Roman"/>
          <w:sz w:val="24"/>
          <w:szCs w:val="24"/>
        </w:rPr>
        <w:t>Т</w:t>
      </w:r>
      <w:r w:rsidR="00ED72E9" w:rsidRPr="00ED72E9">
        <w:rPr>
          <w:rFonts w:ascii="Times New Roman" w:hAnsi="Times New Roman" w:cs="Times New Roman"/>
          <w:sz w:val="24"/>
          <w:szCs w:val="24"/>
        </w:rPr>
        <w:t>ребования пожарной безопасности"</w:t>
      </w:r>
      <w:r w:rsidR="00ED72E9" w:rsidRPr="00F47918">
        <w:rPr>
          <w:rFonts w:ascii="Times New Roman" w:hAnsi="Times New Roman" w:cs="Times New Roman"/>
          <w:sz w:val="24"/>
          <w:szCs w:val="24"/>
        </w:rPr>
        <w:t>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Допускается предусматривать в качестве источников наружного противопожарного водоснабжения природные или искусственные водоемы.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Расход воды на наружное пожаротушение зданий любого функционального назначения, отдельно стоящих производственных зданий, сооружений и иных объектов из водопроводной сети принимается в соответствии с Федеральным </w:t>
      </w:r>
      <w:hyperlink r:id="rId16">
        <w:r w:rsidRPr="00F47918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F47918">
        <w:rPr>
          <w:rFonts w:ascii="Times New Roman" w:hAnsi="Times New Roman" w:cs="Times New Roman"/>
          <w:sz w:val="24"/>
          <w:szCs w:val="24"/>
        </w:rPr>
        <w:t xml:space="preserve"> от 22.07.2008 N 123-ФЗ "Технический регламент о требованиях пожарной безопасности".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Установку пожарных гидрантов следует предусматривать вдоль автомобильных дорог на расстоянии не более 2,5 м от края проезжей части, но не менее 5 м от стен зданий, пожарные гидранты допускается располагать на проезжей части. При этом установка пожарных гидрантов на ответвлении от линии водопровода не допускается.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Удельное водопотребление включает расходы воды на хозяйственно-питьевые нужды в жилых и общественных зданиях, нужды местной промышленности, полив улиц и зеленых насаждений.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Выбор источника водоснабжения должен быть обоснован результатами топографических, гидрологических, гидрогеологических, ихтиологических, гидрохимических, гидробиологических, гидротермических и других изысканий и санитарных обследований.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 xml:space="preserve">В качестве источника водоснабжения следует рассматривать водотоки (реки, каналы),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 xml:space="preserve">водоемы (озера, водохранилища, пруды), подземные воды (водоносные пласты,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подрусловые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и другие воды).</w:t>
      </w:r>
      <w:proofErr w:type="gramEnd"/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Для хозяйственно-питьевых водопроводов должны максимально использоваться имеющиеся ресурсы подземных вод (в том числе пополняемых источников), удовлетворяющих санитарно-гигиеническим требованиям.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Для производственного водоснабжения промышленных предприятий следует рассматривать возможность использования очищенных сточных вод.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Выбор схем и систем водоснабжения следует осуществлять в соответствии с требованиями </w:t>
      </w:r>
      <w:r w:rsidR="00B70833" w:rsidRPr="00B70833">
        <w:rPr>
          <w:rFonts w:ascii="Times New Roman" w:hAnsi="Times New Roman" w:cs="Times New Roman"/>
          <w:sz w:val="24"/>
          <w:szCs w:val="24"/>
        </w:rPr>
        <w:t xml:space="preserve">СП 31.13330.2021 </w:t>
      </w:r>
      <w:r w:rsidR="00B70833">
        <w:rPr>
          <w:rFonts w:ascii="Times New Roman" w:hAnsi="Times New Roman" w:cs="Times New Roman"/>
          <w:sz w:val="24"/>
          <w:szCs w:val="24"/>
        </w:rPr>
        <w:t>«</w:t>
      </w:r>
      <w:r w:rsidR="00B70833" w:rsidRPr="00B70833">
        <w:rPr>
          <w:rFonts w:ascii="Times New Roman" w:hAnsi="Times New Roman" w:cs="Times New Roman"/>
          <w:sz w:val="24"/>
          <w:szCs w:val="24"/>
        </w:rPr>
        <w:t>СНиП 2.04.02-84</w:t>
      </w:r>
      <w:r w:rsidR="00B70833">
        <w:rPr>
          <w:rFonts w:ascii="Times New Roman" w:hAnsi="Times New Roman" w:cs="Times New Roman"/>
          <w:sz w:val="24"/>
          <w:szCs w:val="24"/>
        </w:rPr>
        <w:t>»</w:t>
      </w:r>
      <w:r w:rsidR="00B70833" w:rsidRPr="00B70833">
        <w:rPr>
          <w:rFonts w:ascii="Times New Roman" w:hAnsi="Times New Roman" w:cs="Times New Roman"/>
          <w:sz w:val="24"/>
          <w:szCs w:val="24"/>
        </w:rPr>
        <w:t xml:space="preserve"> </w:t>
      </w:r>
      <w:r w:rsidRPr="00F47918">
        <w:rPr>
          <w:rFonts w:ascii="Times New Roman" w:hAnsi="Times New Roman" w:cs="Times New Roman"/>
          <w:sz w:val="24"/>
          <w:szCs w:val="24"/>
        </w:rPr>
        <w:t>Водоснабжение. Наружные сети и сооружения". Системы водоснабжения могут быть централизованными, нецентрализованными, локальными, оборотными.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Водопроводные сети проектируются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кольцевыми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>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Кольцевание наружных водопроводных сетей внутренними водопроводными сетями зданий и сооружений не допускается.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Водопроводные сооружения должны иметь ограждения.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>Для площадок станций водоподготовки, насосных станций, резервуаров и водонапорных башен с зонами санитарной охраны первого пояса следует принимать глухое ограждение высотой 2,5 м. Допускается предусматривать ограждение на высоту 2 м - глухое и на 0,5 м - из колючей проволоки или металлической сетки, при этом во всех случаях должна предусматриваться колючая проволока в 4-5 нитей на кронштейнах с внутренней стороны ограждения.</w:t>
      </w:r>
      <w:proofErr w:type="gramEnd"/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Примыкание к ограждению строений, кроме проходных и административно-бытовых зданий, не допускается.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Очистные сооружения размещаются на территории зоны объектов инженерной инфраструктуры, определенных в градостроительной документации, или производственной зоны.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>Все объекты жилищно-гражданского, производственного назначения, как правило, должны быть обеспечены централизованным системами канализации.</w:t>
      </w:r>
      <w:proofErr w:type="gramEnd"/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 проектировании канализации необходимо рассматривать возможность объединения систем канализации различных объектов, а также предусматривать возможность использования существующих сооружений и интенсификацию их работы на основании технико-экономических расчетов.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Очистные сооружения хозяйственно-бытовой канализации являются отдельно стоящими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подземно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>-надземными сооружениями.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Проекты канализации населенных пунктов должны разрабатываться одновременно с проектами водоснабжения с обязательным анализом баланса водопотребления и отведения сточных вод. При этом необходимо рассматривать возможность использования очищенных сточных, дождевых вод для производственного водоснабжения и полива.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КНС сооружают в тех случаях, когда рельеф местности не позволяет отводить сточные воды самотеком к очистным сооружениям.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Очистные сооружения производственной и дождевой канализации следует, как правило, размещать на территории промышленных предприятий.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Площадки под КНС следует резервировать, как правило, в самых пониженных точках местности на незатопляемой территории.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Площадку очистных сооружений сточных вод следует располагать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с подветренной стороны для ветров преобладающего в теплый период года направления по отношению к жилой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застройке, ниже по течению водотока.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Выбор площадок для строительства сооружений канализации, планировку, застройку и благоустройство их территорий следует выполнять в соответствии с технологическими требованиями и действующей нормативной документацией.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Линейные объекты системы водоотведения сточных вод (канализационные напорные и самотечные трубопроводы) по местоположению относительно земной поверхности могут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 xml:space="preserve">размещаться только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подземно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>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Надземная и наземная прокладка канализационных трубопроводов не допускается.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Автомобильные дороги местного значения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Зоны размещения автомобильных дорог местного значения вне границ населенных пунктов в границах муниципального района определяются на основании документов территориального планирования Удмуртской Республики 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Категории автомобильных дорог местного значения вне границ населенных пунктов в границах муниципального района в зависимости от их назначения, расчетной интенсивности движения и их значения приведены в таблице 4.2.1.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4.2.1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4"/>
        <w:gridCol w:w="2693"/>
        <w:gridCol w:w="4820"/>
      </w:tblGrid>
      <w:tr w:rsidR="00B0469E" w:rsidRPr="00F47918" w:rsidTr="007B7B83">
        <w:tc>
          <w:tcPr>
            <w:tcW w:w="2614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Категория автомобильной дороги</w:t>
            </w:r>
          </w:p>
        </w:tc>
        <w:tc>
          <w:tcPr>
            <w:tcW w:w="2693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820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Расчетная интенсивность движения, приведенных единиц/сутки</w:t>
            </w:r>
          </w:p>
        </w:tc>
      </w:tr>
      <w:tr w:rsidR="00B0469E" w:rsidRPr="00F47918" w:rsidTr="007B7B83">
        <w:tc>
          <w:tcPr>
            <w:tcW w:w="2614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2693" w:type="dxa"/>
            <w:vMerge w:val="restart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обычная автомобильная дорога</w:t>
            </w:r>
          </w:p>
        </w:tc>
        <w:tc>
          <w:tcPr>
            <w:tcW w:w="4820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200 до 2 000</w:t>
            </w:r>
          </w:p>
        </w:tc>
      </w:tr>
      <w:tr w:rsidR="00B0469E" w:rsidRPr="00F47918" w:rsidTr="007B7B83">
        <w:tc>
          <w:tcPr>
            <w:tcW w:w="2614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693" w:type="dxa"/>
            <w:vMerge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200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Пропускную способность сети дорог, улиц и транспортных пересечений следует определять исходя из расчетного уровня автомобилизации на расчетный срок, приведенного в таблице 4.2.2.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4.2.2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13"/>
        <w:gridCol w:w="3458"/>
      </w:tblGrid>
      <w:tr w:rsidR="00B0469E" w:rsidRPr="00F47918">
        <w:tc>
          <w:tcPr>
            <w:tcW w:w="5613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3458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Минимальные расчетные показатели, единиц/1000 чел.</w:t>
            </w:r>
          </w:p>
        </w:tc>
      </w:tr>
      <w:tr w:rsidR="00B0469E" w:rsidRPr="00F47918">
        <w:tc>
          <w:tcPr>
            <w:tcW w:w="5613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Количество легковых автомобилей,</w:t>
            </w:r>
          </w:p>
        </w:tc>
        <w:tc>
          <w:tcPr>
            <w:tcW w:w="3458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</w:tr>
      <w:tr w:rsidR="00B0469E" w:rsidRPr="00F47918">
        <w:tc>
          <w:tcPr>
            <w:tcW w:w="5613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 том числе в личной собственности граждан</w:t>
            </w:r>
          </w:p>
        </w:tc>
        <w:tc>
          <w:tcPr>
            <w:tcW w:w="3458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</w:tr>
      <w:tr w:rsidR="00B0469E" w:rsidRPr="00F47918">
        <w:tc>
          <w:tcPr>
            <w:tcW w:w="5613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Количество автобусов</w:t>
            </w:r>
          </w:p>
        </w:tc>
        <w:tc>
          <w:tcPr>
            <w:tcW w:w="3458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0469E" w:rsidRPr="00F47918">
        <w:tc>
          <w:tcPr>
            <w:tcW w:w="5613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Количество грузовых автомобилей</w:t>
            </w:r>
          </w:p>
        </w:tc>
        <w:tc>
          <w:tcPr>
            <w:tcW w:w="3458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B0469E" w:rsidRPr="00F47918">
        <w:tc>
          <w:tcPr>
            <w:tcW w:w="5613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Количество мотоциклов и мопедов</w:t>
            </w:r>
          </w:p>
        </w:tc>
        <w:tc>
          <w:tcPr>
            <w:tcW w:w="3458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Примечания: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1. Указанный уровень автомобилизации допускается увеличивать в зависимости от особенностей градостроительной ситуации, но не более чем на 20%.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2. Количество автомобилей, прибывающих в населенный пункт из других населенных пунктов Удмуртской Республики, и транзитных автомобилей определяется специальным расчетом.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Для расчета пропускной способности (интенсивности движения) при движении по уличной сети смешанного потока различные виды транспорта следует приводить к одному расчетному виду. Коэффициенты приведения интенсивности движения различных транспортных сре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дств к л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>егковому автомобилю следует принимать по таблице 4.2.3.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4.2.3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00"/>
        <w:gridCol w:w="2927"/>
      </w:tblGrid>
      <w:tr w:rsidR="00B0469E" w:rsidRPr="00F47918" w:rsidTr="007B7B83"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Типы транспортных средств</w:t>
            </w:r>
          </w:p>
        </w:tc>
        <w:tc>
          <w:tcPr>
            <w:tcW w:w="2927" w:type="dxa"/>
            <w:tcBorders>
              <w:top w:val="single" w:sz="4" w:space="0" w:color="auto"/>
              <w:bottom w:val="single" w:sz="4" w:space="0" w:color="auto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Коэффициент приведения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single" w:sz="4" w:space="0" w:color="auto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Легковые автомобили, мотоциклы, микроавтобусы</w:t>
            </w:r>
          </w:p>
        </w:tc>
        <w:tc>
          <w:tcPr>
            <w:tcW w:w="2927" w:type="dxa"/>
            <w:tcBorders>
              <w:top w:val="single" w:sz="4" w:space="0" w:color="auto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Грузовые автомобили грузоподъемностью: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2 т включительно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2 т до 6 т включительно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6 т до 8 т включительно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8 т до 14 т включительно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14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Автопоезда грузоподъемностью: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12 т включительно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12 т до 20 т включительно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20 т до 30 т включительно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30 т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Автобусы: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малой вместимости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средней вместимости</w:t>
            </w:r>
          </w:p>
        </w:tc>
        <w:tc>
          <w:tcPr>
            <w:tcW w:w="2927" w:type="dxa"/>
            <w:tcBorders>
              <w:top w:val="nil"/>
              <w:bottom w:val="nil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B0469E" w:rsidRPr="00F47918" w:rsidTr="007B7B83">
        <w:tblPrEx>
          <w:tblBorders>
            <w:insideH w:val="none" w:sz="0" w:space="0" w:color="auto"/>
          </w:tblBorders>
        </w:tblPrEx>
        <w:tc>
          <w:tcPr>
            <w:tcW w:w="7200" w:type="dxa"/>
            <w:tcBorders>
              <w:top w:val="nil"/>
              <w:bottom w:val="single" w:sz="4" w:space="0" w:color="auto"/>
            </w:tcBorders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большой вместимости</w:t>
            </w:r>
          </w:p>
        </w:tc>
        <w:tc>
          <w:tcPr>
            <w:tcW w:w="2927" w:type="dxa"/>
            <w:tcBorders>
              <w:top w:val="nil"/>
              <w:bottom w:val="single" w:sz="4" w:space="0" w:color="auto"/>
            </w:tcBorders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Примечание: коэффициенты приведения для специальных автомобилей следует принимать как для базовых автомобилей соответствующей грузоподъемности.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Полосы отвода автомобильных дорог местного значения следует проектировать в соответствии с требованиями Федерального </w:t>
      </w:r>
      <w:hyperlink r:id="rId17">
        <w:r w:rsidRPr="00F47918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F47918">
        <w:rPr>
          <w:rFonts w:ascii="Times New Roman" w:hAnsi="Times New Roman" w:cs="Times New Roman"/>
          <w:sz w:val="24"/>
          <w:szCs w:val="24"/>
        </w:rPr>
        <w:t xml:space="preserve"> от 08.11.2007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приведенными в таблице 4.2.4.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4.2.4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592"/>
      </w:tblGrid>
      <w:tr w:rsidR="00B0469E" w:rsidRPr="00F47918" w:rsidTr="007B7B83">
        <w:tc>
          <w:tcPr>
            <w:tcW w:w="453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Наименования параметров</w:t>
            </w:r>
          </w:p>
        </w:tc>
        <w:tc>
          <w:tcPr>
            <w:tcW w:w="5592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Порядок определения</w:t>
            </w:r>
          </w:p>
        </w:tc>
      </w:tr>
      <w:tr w:rsidR="00B0469E" w:rsidRPr="00F47918" w:rsidTr="007B7B83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Границы полосы отвода автомобильной дороги</w:t>
            </w:r>
          </w:p>
        </w:tc>
        <w:tc>
          <w:tcPr>
            <w:tcW w:w="5592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Определяются на основании документации по планировке территории</w:t>
            </w:r>
          </w:p>
        </w:tc>
      </w:tr>
      <w:tr w:rsidR="00B0469E" w:rsidRPr="00F47918" w:rsidTr="007B7B83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Порядок установления и использования полос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отвода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автомобильных дорог местного значения</w:t>
            </w:r>
          </w:p>
        </w:tc>
        <w:tc>
          <w:tcPr>
            <w:tcW w:w="5592" w:type="dxa"/>
          </w:tcPr>
          <w:p w:rsidR="00B0469E" w:rsidRPr="00F47918" w:rsidRDefault="00B0469E" w:rsidP="00B43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Органом местного самоуправления </w:t>
            </w:r>
            <w:proofErr w:type="spellStart"/>
            <w:r w:rsidR="002373FD" w:rsidRPr="00F47918"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района Удмуртской Республики</w:t>
            </w:r>
          </w:p>
        </w:tc>
      </w:tr>
      <w:tr w:rsidR="00B0469E" w:rsidRPr="00F47918" w:rsidTr="007B7B83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Ширина полос и размеры участков земель, отводимых для автомобильных дорог и транспортных развязок движения</w:t>
            </w:r>
          </w:p>
        </w:tc>
        <w:tc>
          <w:tcPr>
            <w:tcW w:w="5592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требованиями </w:t>
            </w:r>
            <w:hyperlink r:id="rId18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Российской Федерации от 02.09.2009 N 717 "О нормах отвода земель для размещения автомобильных дорог и (или) объектов дорожного сервиса"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Расчетные показатели градостроительного проектирования мостовых сооружений (мостов, эстакад, галерей, труб, путепроводов) приведены в таблице 4.2.5.</w:t>
      </w:r>
    </w:p>
    <w:p w:rsidR="00B42D2B" w:rsidRDefault="00B42D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42D2B" w:rsidRDefault="00B42D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4.2.5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592"/>
      </w:tblGrid>
      <w:tr w:rsidR="00B0469E" w:rsidRPr="00F47918" w:rsidTr="007B7B83">
        <w:tc>
          <w:tcPr>
            <w:tcW w:w="453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592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Нормативные параметры и расчетные показатели мостовых сооружений (мостов, эстакад, галерей, труб, путепроводов)</w:t>
            </w:r>
          </w:p>
        </w:tc>
      </w:tr>
      <w:tr w:rsidR="00B0469E" w:rsidRPr="00F47918" w:rsidTr="007B7B83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Выбор трассы и места размещения</w:t>
            </w:r>
          </w:p>
        </w:tc>
        <w:tc>
          <w:tcPr>
            <w:tcW w:w="5592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 соответствии с требованиями СП 35.13330.2011</w:t>
            </w:r>
          </w:p>
        </w:tc>
      </w:tr>
      <w:tr w:rsidR="00B0469E" w:rsidRPr="00F47918" w:rsidTr="007B7B83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Габариты приближения</w:t>
            </w:r>
          </w:p>
        </w:tc>
        <w:tc>
          <w:tcPr>
            <w:tcW w:w="5592" w:type="dxa"/>
          </w:tcPr>
          <w:p w:rsidR="00B0469E" w:rsidRPr="00F47918" w:rsidRDefault="00B0469E" w:rsidP="00B7083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требованиями ГОСТ </w:t>
            </w:r>
            <w:r w:rsidR="00B70833">
              <w:rPr>
                <w:rFonts w:ascii="Times New Roman" w:hAnsi="Times New Roman" w:cs="Times New Roman"/>
                <w:sz w:val="24"/>
                <w:szCs w:val="24"/>
              </w:rPr>
              <w:t>59432-2021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образования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Расчетные показатели минимально допустимого уровня обеспеченности объектами и максимально допустимого уровня территориальной доступности объектов в области образования для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приведены в таблице 4.3.1.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4.3.1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3005"/>
        <w:gridCol w:w="4287"/>
      </w:tblGrid>
      <w:tr w:rsidR="00B0469E" w:rsidRPr="00F47918" w:rsidTr="00F47918">
        <w:tc>
          <w:tcPr>
            <w:tcW w:w="283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00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4287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B0469E" w:rsidRPr="00F47918" w:rsidTr="00F47918">
        <w:tc>
          <w:tcPr>
            <w:tcW w:w="28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учреждения</w:t>
            </w:r>
          </w:p>
        </w:tc>
        <w:tc>
          <w:tcPr>
            <w:tcW w:w="3005" w:type="dxa"/>
          </w:tcPr>
          <w:p w:rsidR="00B0469E" w:rsidRPr="00F47918" w:rsidRDefault="00B0469E" w:rsidP="00B433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не менее 5</w:t>
            </w:r>
            <w:r w:rsidR="00B43307" w:rsidRPr="00F479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мест на 1000 жителей</w:t>
            </w:r>
          </w:p>
        </w:tc>
        <w:tc>
          <w:tcPr>
            <w:tcW w:w="4287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минут транспортной доступности</w:t>
            </w:r>
          </w:p>
        </w:tc>
      </w:tr>
      <w:tr w:rsidR="00B0469E" w:rsidRPr="00F47918" w:rsidTr="00F47918">
        <w:tc>
          <w:tcPr>
            <w:tcW w:w="28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школы</w:t>
            </w:r>
          </w:p>
        </w:tc>
        <w:tc>
          <w:tcPr>
            <w:tcW w:w="3005" w:type="dxa"/>
          </w:tcPr>
          <w:p w:rsidR="00B0469E" w:rsidRPr="00F47918" w:rsidRDefault="00B0469E" w:rsidP="0056769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не менее 12</w:t>
            </w:r>
            <w:r w:rsidR="00567692" w:rsidRPr="00F479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мест на 1000 жителей, в том числе 17 для X - XI классов</w:t>
            </w:r>
          </w:p>
        </w:tc>
        <w:tc>
          <w:tcPr>
            <w:tcW w:w="4287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для обучающихся I ступени не более 2 км пешеходной доступности.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Для обучающихся II и III не более 4 км транспортной доступности &lt;*&gt;</w:t>
            </w:r>
          </w:p>
        </w:tc>
      </w:tr>
      <w:tr w:rsidR="00B0469E" w:rsidRPr="00F47918" w:rsidTr="00F47918">
        <w:tc>
          <w:tcPr>
            <w:tcW w:w="2835" w:type="dxa"/>
          </w:tcPr>
          <w:p w:rsidR="00B0469E" w:rsidRPr="00F47918" w:rsidRDefault="00B52E6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Учреждения дополнительно</w:t>
            </w:r>
            <w:r w:rsidR="00B0469E" w:rsidRPr="00F47918">
              <w:rPr>
                <w:rFonts w:ascii="Times New Roman" w:hAnsi="Times New Roman" w:cs="Times New Roman"/>
                <w:sz w:val="24"/>
                <w:szCs w:val="24"/>
              </w:rPr>
              <w:t>го образования</w:t>
            </w:r>
          </w:p>
        </w:tc>
        <w:tc>
          <w:tcPr>
            <w:tcW w:w="300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 по демографии не менее 10% от общего числа школьников</w:t>
            </w:r>
          </w:p>
        </w:tc>
        <w:tc>
          <w:tcPr>
            <w:tcW w:w="4287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4.3.2. Согласно </w:t>
      </w:r>
      <w:r w:rsidR="00ED72E9" w:rsidRPr="00ED72E9">
        <w:rPr>
          <w:rFonts w:ascii="Times New Roman" w:hAnsi="Times New Roman" w:cs="Times New Roman"/>
          <w:sz w:val="24"/>
          <w:szCs w:val="24"/>
        </w:rPr>
        <w:t>СП 2.4.3648-20 "</w:t>
      </w:r>
      <w:r w:rsidR="00ED72E9">
        <w:rPr>
          <w:rFonts w:ascii="Times New Roman" w:hAnsi="Times New Roman" w:cs="Times New Roman"/>
          <w:sz w:val="24"/>
          <w:szCs w:val="24"/>
        </w:rPr>
        <w:t>С</w:t>
      </w:r>
      <w:r w:rsidR="00ED72E9" w:rsidRPr="00ED72E9">
        <w:rPr>
          <w:rFonts w:ascii="Times New Roman" w:hAnsi="Times New Roman" w:cs="Times New Roman"/>
          <w:sz w:val="24"/>
          <w:szCs w:val="24"/>
        </w:rPr>
        <w:t xml:space="preserve">анитарно-эпидемиологические требования к организациям воспитания и обучения, отдыха и оздоровления детей и молодежи" </w:t>
      </w:r>
      <w:r w:rsidRPr="00F47918">
        <w:rPr>
          <w:rFonts w:ascii="Times New Roman" w:hAnsi="Times New Roman" w:cs="Times New Roman"/>
          <w:sz w:val="24"/>
          <w:szCs w:val="24"/>
        </w:rPr>
        <w:t>при организации дошкольного и школьного обслуживания в сельской местности необходимо предусматривать систему подвоза детей. Транспортному обслуживанию подлежат учащиеся общеобразовательных учреждений, проживающие на расстоянии свыше 2 - 4 км от учреждения. Подвоз учащихся осуществляется на транспорте, предназначенном для перевозки детей. Время пути не должно превышать 30 минут в одну сторону.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Оптимальный пешеходный подход обучающихся к месту сбора на остановке должен быть не более 500 м. Для сельских районов допускается увеличение радиуса пешеходной доступности до остановки до 1 км.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Остановка транспорта оборудуется навесом, огражденным с трех сторон, защищена барьером от проезжей части дороги, имеет твердое покрытие и обзорность не менее 250 м со стороны дороги.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здравоохранения</w:t>
      </w:r>
    </w:p>
    <w:p w:rsidR="00B0469E" w:rsidRPr="00F47918" w:rsidRDefault="00B04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lastRenderedPageBreak/>
        <w:t xml:space="preserve">Расчетные показатели минимально допустимого уровня обеспеченности объектами и максимально допустимого уровня территориальной доступности объектов в области здравоохранения для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приведены в таблице 4.4.1.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4.4.1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4231"/>
      </w:tblGrid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Амбулаторно-поликлинические учреждения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проектирование, определяемому органами здравоохранения, но не менее 18,15 посещений в смену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40 минут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Фельдшерско-акушерские пункты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 на 0,7 тыс. жителей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Станции (подстанции) скорой помощи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 автомобиль на 3 тыс. жителей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доступности на автомобиле, оборудованном специальными внешними световыми приборами и звуковыми сигналами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Стационары всех типов со вспомогательными зданиями и сооружениями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 заданию на проектирование, определяемому органами здравоохранения, но не менее 13,47 коек/1000 чел.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hyperlink r:id="rId19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Нормативами</w:t>
              </w:r>
            </w:hyperlink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градостроительного проектирования по Удмуртской Республике, утвержденными постановлением Удмуртской Республики от 04.06.2019 N 228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физической культуры и массового спорта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4.5.1.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 xml:space="preserve">Расчетные показатели минимально допустимого уровня обеспеченности и максимально допустимого уровня территориальной доступности объектами в физической культуры, спорта и культуры для населения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приведены в таблице 4.5.1.</w:t>
      </w:r>
      <w:proofErr w:type="gramEnd"/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B42D2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4.5.1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4231"/>
      </w:tblGrid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DD0435" w:rsidRPr="00F47918" w:rsidTr="00F47918">
        <w:tc>
          <w:tcPr>
            <w:tcW w:w="2721" w:type="dxa"/>
            <w:vMerge w:val="restart"/>
          </w:tcPr>
          <w:p w:rsidR="00DD0435" w:rsidRPr="00F47918" w:rsidRDefault="00DD0435" w:rsidP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Стадионы, плоскостные спортивные сооружения</w:t>
            </w:r>
          </w:p>
        </w:tc>
        <w:tc>
          <w:tcPr>
            <w:tcW w:w="3175" w:type="dxa"/>
            <w:vMerge w:val="restart"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7000 кв. м на 1000 жителей</w:t>
            </w:r>
          </w:p>
        </w:tc>
        <w:tc>
          <w:tcPr>
            <w:tcW w:w="4231" w:type="dxa"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40 минут транспортной доступности</w:t>
            </w:r>
          </w:p>
        </w:tc>
      </w:tr>
      <w:tr w:rsidR="00DD0435" w:rsidRPr="00F47918" w:rsidTr="00F47918">
        <w:tc>
          <w:tcPr>
            <w:tcW w:w="2721" w:type="dxa"/>
            <w:vMerge/>
          </w:tcPr>
          <w:p w:rsidR="00DD0435" w:rsidRPr="00F47918" w:rsidRDefault="00DD0435" w:rsidP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1" w:type="dxa"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1500 м пешеходной доступности</w:t>
            </w:r>
          </w:p>
        </w:tc>
      </w:tr>
      <w:tr w:rsidR="00DD0435" w:rsidRPr="00F47918" w:rsidTr="00F47918">
        <w:tc>
          <w:tcPr>
            <w:tcW w:w="2721" w:type="dxa"/>
            <w:vMerge w:val="restart"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Физкультурно-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оздоровительный комплекс (спортивные залы)</w:t>
            </w:r>
          </w:p>
        </w:tc>
        <w:tc>
          <w:tcPr>
            <w:tcW w:w="3175" w:type="dxa"/>
            <w:vMerge w:val="restart"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 кв. м на 1000 жителей</w:t>
            </w:r>
          </w:p>
        </w:tc>
        <w:tc>
          <w:tcPr>
            <w:tcW w:w="4231" w:type="dxa"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DD0435" w:rsidRPr="00F47918" w:rsidTr="00F47918">
        <w:tc>
          <w:tcPr>
            <w:tcW w:w="2721" w:type="dxa"/>
            <w:vMerge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5" w:type="dxa"/>
            <w:vMerge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31" w:type="dxa"/>
          </w:tcPr>
          <w:p w:rsidR="00DD0435" w:rsidRPr="00F47918" w:rsidRDefault="00DD043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500 м пешеходной доступности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культуры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Расчетные показатели минимально допустимого уровня обеспеченности и максимально допустимого уровня территориальной доступности объектами культуры для населения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приведены в таблице 4.6.1.</w:t>
      </w:r>
    </w:p>
    <w:p w:rsidR="00B0469E" w:rsidRPr="00F47918" w:rsidRDefault="007B7B83" w:rsidP="007B7B8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4.6.1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4231"/>
      </w:tblGrid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 библиотека на административный центр района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- 1 час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 библиотека на административный центр района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- 1 час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Районный Дом культуры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Районный Дом ремесел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Районный методический центр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Дом культуры, сельский клуб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 клуб на 1 тыс. жителей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Историко-художественный музей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независимо от количества населения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15 - 30 минут шаговой доступности;</w:t>
            </w:r>
          </w:p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- 1 час транспортной доступности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общественного питания торговли</w:t>
      </w: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и бытового обслуживания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4.7.1 Расчетные показатели минимально допустимого уровня обеспеченности и максимально допустимого уровня территориальной доступности объектами общественного питания, торговли и бытового обслуживания для населения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приведены в таблице 4.7.1.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4.7.1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175"/>
        <w:gridCol w:w="4231"/>
      </w:tblGrid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одного или нескольких видов объектов местного 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значения муниципального образования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Расчетные показатели минимально допустимого уровня обеспеченности 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объектами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Торговые центры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326 кв. м торговой площади на 1000 жителей </w:t>
            </w:r>
            <w:hyperlink w:anchor="P433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Магазин продовольственных товаров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119 кв. м торговой площади на 1000 жителей </w:t>
            </w:r>
            <w:hyperlink w:anchor="P433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минут пешеходной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Магазин непродовольственных товаров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207 кв. м торговой площади на 1000 жителей </w:t>
            </w:r>
            <w:hyperlink w:anchor="P433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пешеходной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Предприятие общественного питания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40 посадочных мест на 1000 жителей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Предприятия бытового обслуживания населения</w:t>
            </w:r>
          </w:p>
        </w:tc>
        <w:tc>
          <w:tcPr>
            <w:tcW w:w="317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 рабочих мест на 1000 жителей</w:t>
            </w:r>
          </w:p>
        </w:tc>
        <w:tc>
          <w:tcPr>
            <w:tcW w:w="423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30 минут транспортной доступности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F4791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Примечание: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1" w:name="P433"/>
      <w:bookmarkEnd w:id="1"/>
      <w:r w:rsidRPr="00F47918">
        <w:rPr>
          <w:rFonts w:ascii="Times New Roman" w:hAnsi="Times New Roman" w:cs="Times New Roman"/>
          <w:sz w:val="24"/>
          <w:szCs w:val="24"/>
        </w:rPr>
        <w:t xml:space="preserve">&lt;*&gt; В соответствии с </w:t>
      </w:r>
      <w:hyperlink r:id="rId20">
        <w:r w:rsidRPr="00F47918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F47918">
        <w:rPr>
          <w:rFonts w:ascii="Times New Roman" w:hAnsi="Times New Roman" w:cs="Times New Roman"/>
          <w:sz w:val="24"/>
          <w:szCs w:val="24"/>
        </w:rPr>
        <w:t xml:space="preserve"> Правительства УР от </w:t>
      </w:r>
      <w:r w:rsidR="00567692" w:rsidRPr="00F47918">
        <w:rPr>
          <w:rFonts w:ascii="Times New Roman" w:hAnsi="Times New Roman" w:cs="Times New Roman"/>
          <w:sz w:val="24"/>
          <w:szCs w:val="24"/>
        </w:rPr>
        <w:t>29.08.2023</w:t>
      </w:r>
      <w:r w:rsidRPr="00F47918">
        <w:rPr>
          <w:rFonts w:ascii="Times New Roman" w:hAnsi="Times New Roman" w:cs="Times New Roman"/>
          <w:sz w:val="24"/>
          <w:szCs w:val="24"/>
        </w:rPr>
        <w:t xml:space="preserve"> N </w:t>
      </w:r>
      <w:r w:rsidR="00567692" w:rsidRPr="00F47918">
        <w:rPr>
          <w:rFonts w:ascii="Times New Roman" w:hAnsi="Times New Roman" w:cs="Times New Roman"/>
          <w:sz w:val="24"/>
          <w:szCs w:val="24"/>
        </w:rPr>
        <w:t>580</w:t>
      </w:r>
      <w:r w:rsidRPr="00F47918">
        <w:rPr>
          <w:rFonts w:ascii="Times New Roman" w:hAnsi="Times New Roman" w:cs="Times New Roman"/>
          <w:sz w:val="24"/>
          <w:szCs w:val="24"/>
        </w:rPr>
        <w:t xml:space="preserve"> "Об </w:t>
      </w:r>
      <w:r w:rsidR="00567692" w:rsidRPr="00F47918">
        <w:rPr>
          <w:rFonts w:ascii="Times New Roman" w:hAnsi="Times New Roman" w:cs="Times New Roman"/>
          <w:sz w:val="24"/>
          <w:szCs w:val="24"/>
        </w:rPr>
        <w:t>утверждении</w:t>
      </w:r>
      <w:r w:rsidRPr="00F47918">
        <w:rPr>
          <w:rFonts w:ascii="Times New Roman" w:hAnsi="Times New Roman" w:cs="Times New Roman"/>
          <w:sz w:val="24"/>
          <w:szCs w:val="24"/>
        </w:rPr>
        <w:t xml:space="preserve"> нормативов минимальной обеспеченности населения Удмуртской Республики площадью торговых объектов".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3A4DB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размещения, обезвреживания и утилизации твердых</w:t>
      </w:r>
      <w:r w:rsidR="003A4DBC">
        <w:rPr>
          <w:rFonts w:ascii="Times New Roman" w:hAnsi="Times New Roman" w:cs="Times New Roman"/>
          <w:sz w:val="24"/>
          <w:szCs w:val="24"/>
        </w:rPr>
        <w:t xml:space="preserve"> </w:t>
      </w:r>
      <w:r w:rsidRPr="00F47918">
        <w:rPr>
          <w:rFonts w:ascii="Times New Roman" w:hAnsi="Times New Roman" w:cs="Times New Roman"/>
          <w:sz w:val="24"/>
          <w:szCs w:val="24"/>
        </w:rPr>
        <w:t>коммунальных отходов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4.8.1. Расчетные показатели минимально допустимого уровня обеспеченности и максимально допустимого уровня территориальной доступности объектов обработки, утилизации, обезвреживания, размещения отходов приведены в таблице 4.8.1.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4.8.1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4145"/>
        <w:gridCol w:w="3261"/>
      </w:tblGrid>
      <w:tr w:rsidR="00B0469E" w:rsidRPr="00F47918" w:rsidTr="00F47918">
        <w:tc>
          <w:tcPr>
            <w:tcW w:w="2721" w:type="dxa"/>
            <w:vMerge w:val="restart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объектов</w:t>
            </w:r>
          </w:p>
        </w:tc>
        <w:tc>
          <w:tcPr>
            <w:tcW w:w="7406" w:type="dxa"/>
            <w:gridSpan w:val="2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</w:t>
            </w:r>
          </w:p>
        </w:tc>
      </w:tr>
      <w:tr w:rsidR="00B0469E" w:rsidRPr="00F47918" w:rsidTr="00F47918">
        <w:tc>
          <w:tcPr>
            <w:tcW w:w="2721" w:type="dxa"/>
            <w:vMerge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4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минимально допустимого уровня обеспеченности</w:t>
            </w:r>
          </w:p>
        </w:tc>
        <w:tc>
          <w:tcPr>
            <w:tcW w:w="326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максимально допустимого уровня территориальной доступности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 обработки, утилизации, обезвреживания, размещения отходов</w:t>
            </w:r>
          </w:p>
        </w:tc>
        <w:tc>
          <w:tcPr>
            <w:tcW w:w="414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Определяется территориальной схемой обращения с отходами, в том числе с твердыми коммунальными отходами, на территории Удмуртской Республики</w:t>
            </w:r>
          </w:p>
        </w:tc>
        <w:tc>
          <w:tcPr>
            <w:tcW w:w="326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Не нормируется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Размещение временных площадок для хранения твердых коммунальных отходов на территории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недопустимо.</w:t>
      </w:r>
    </w:p>
    <w:p w:rsidR="00B42D2B" w:rsidRPr="00F47918" w:rsidRDefault="00B42D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защиты населения и охраны общественного порядка</w:t>
      </w:r>
    </w:p>
    <w:p w:rsidR="00B0469E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4.9.1 Расчетные показатели минимально допустимого уровня обеспеченности и максимально допустимого уровня территориальной доступности объектами гражданской обороны, защиты населения и охраны общественного порядка для населения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приведены в таблице 4.9.1.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lastRenderedPageBreak/>
        <w:t>Таблица 4.9.1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3720"/>
        <w:gridCol w:w="3686"/>
      </w:tblGrid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одного или нескольких видов объектов местного значения муниципального образования</w:t>
            </w:r>
          </w:p>
        </w:tc>
        <w:tc>
          <w:tcPr>
            <w:tcW w:w="3720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686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</w:tr>
      <w:tr w:rsidR="00B0469E" w:rsidRPr="00F47918" w:rsidTr="00F47918">
        <w:tc>
          <w:tcPr>
            <w:tcW w:w="2721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Помещение участкового уполномоченного полиции</w:t>
            </w:r>
          </w:p>
        </w:tc>
        <w:tc>
          <w:tcPr>
            <w:tcW w:w="3720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 помещение в муниципальном образовании</w:t>
            </w:r>
          </w:p>
        </w:tc>
        <w:tc>
          <w:tcPr>
            <w:tcW w:w="3686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 минут транспортной доступности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307F" w:rsidRPr="00F47918" w:rsidRDefault="0069307F" w:rsidP="0069307F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Объекты велосипедной инфраструктуры</w:t>
      </w:r>
    </w:p>
    <w:p w:rsidR="0069307F" w:rsidRPr="00F47918" w:rsidRDefault="0069307F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4.10 Расчетные показатели допустимого уровня обеспеченности объектами велосипедной инфраструктуры представлены в таблицах 4.10.1 и 4.10.2 </w:t>
      </w:r>
    </w:p>
    <w:p w:rsidR="0069307F" w:rsidRPr="00F47918" w:rsidRDefault="0069307F" w:rsidP="00F4791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Основные характеристики велодорожек,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велопешеходных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дорожек представлены в таблице 4.10.1</w:t>
      </w:r>
    </w:p>
    <w:p w:rsidR="0069307F" w:rsidRPr="00F47918" w:rsidRDefault="0069307F" w:rsidP="00F47918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4.10.1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22"/>
        <w:gridCol w:w="2252"/>
        <w:gridCol w:w="2857"/>
      </w:tblGrid>
      <w:tr w:rsidR="0069307F" w:rsidRPr="00F47918" w:rsidTr="007B7B83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Нормируемый параметр</w:t>
            </w:r>
          </w:p>
        </w:tc>
        <w:tc>
          <w:tcPr>
            <w:tcW w:w="5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Минимальные значения</w:t>
            </w:r>
          </w:p>
        </w:tc>
      </w:tr>
      <w:tr w:rsidR="0069307F" w:rsidRPr="00F47918" w:rsidTr="007B7B8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при новом строительстве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 стесненных условиях</w:t>
            </w:r>
          </w:p>
        </w:tc>
      </w:tr>
      <w:tr w:rsidR="0069307F" w:rsidRPr="00F47918" w:rsidTr="007B7B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07F" w:rsidRPr="00F47918" w:rsidTr="007B7B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Расчетная скорость движения,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/ч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9307F" w:rsidRPr="00F47918" w:rsidTr="007B7B83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Ширина проезжей части для движения,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, не менее: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07F" w:rsidRPr="00F47918" w:rsidTr="007B7B8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однополосного одностороннего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1,0 - 1,5</w:t>
            </w:r>
          </w:p>
        </w:tc>
        <w:tc>
          <w:tcPr>
            <w:tcW w:w="2857" w:type="dxa"/>
            <w:tcBorders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0,75 - 1,0</w:t>
            </w:r>
          </w:p>
        </w:tc>
      </w:tr>
      <w:tr w:rsidR="0069307F" w:rsidRPr="00F47918" w:rsidTr="007B7B8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двухполосного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одностороннего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1,75 - 2,5</w:t>
            </w:r>
          </w:p>
        </w:tc>
        <w:tc>
          <w:tcPr>
            <w:tcW w:w="2857" w:type="dxa"/>
            <w:tcBorders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1,50</w:t>
            </w:r>
          </w:p>
        </w:tc>
      </w:tr>
      <w:tr w:rsidR="0069307F" w:rsidRPr="00F47918" w:rsidTr="007B7B8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двухполосного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со встречным движением</w:t>
            </w:r>
          </w:p>
        </w:tc>
        <w:tc>
          <w:tcPr>
            <w:tcW w:w="2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2,50 - 3,6</w:t>
            </w:r>
          </w:p>
        </w:tc>
        <w:tc>
          <w:tcPr>
            <w:tcW w:w="2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2,00</w:t>
            </w:r>
          </w:p>
        </w:tc>
      </w:tr>
      <w:tr w:rsidR="0069307F" w:rsidRPr="00F47918" w:rsidTr="007B7B83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Ширина велосипедной и пешеходной дорожки с разделением движения дорожной разметкой,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4,0 - 6,0 </w:t>
            </w:r>
            <w:hyperlink w:anchor="Par49" w:history="1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3,25 </w:t>
            </w:r>
            <w:hyperlink w:anchor="Par50" w:history="1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&lt;**&gt;</w:t>
              </w:r>
            </w:hyperlink>
          </w:p>
        </w:tc>
      </w:tr>
      <w:tr w:rsidR="0069307F" w:rsidRPr="00F47918" w:rsidTr="007B7B83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Ширина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велопешеходной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дорожки,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2,5 - 3,0 </w:t>
            </w:r>
            <w:hyperlink w:anchor="Par51" w:history="1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&lt;***&gt;</w:t>
              </w:r>
            </w:hyperlink>
          </w:p>
        </w:tc>
        <w:tc>
          <w:tcPr>
            <w:tcW w:w="28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2,0 </w:t>
            </w:r>
            <w:hyperlink w:anchor="Par52" w:history="1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&lt;****&gt;</w:t>
              </w:r>
            </w:hyperlink>
          </w:p>
        </w:tc>
      </w:tr>
      <w:tr w:rsidR="0069307F" w:rsidRPr="00F47918" w:rsidTr="007B7B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Наибольший продольный уклон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40 - 60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50 - 70</w:t>
            </w:r>
          </w:p>
        </w:tc>
      </w:tr>
      <w:tr w:rsidR="0069307F" w:rsidRPr="00F47918" w:rsidTr="007B7B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Поперечный уклон проезжей части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15 - 20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9307F" w:rsidRPr="00F47918" w:rsidTr="007B7B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Габарит по высоте,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2,50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69307F" w:rsidRPr="00F47918" w:rsidTr="007B7B83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Минимальное расстояние до бокового препятствия,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0,50 согласно "</w:t>
            </w:r>
            <w:hyperlink r:id="rId21" w:history="1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СП 396.1325800.2018</w:t>
              </w:r>
            </w:hyperlink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. Свод правил. Улицы и дороги населенных 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пунктов. Правила градостроительного проектирования" (далее - СП 396.1325800.2018)</w:t>
            </w: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0,50 согласно </w:t>
            </w:r>
            <w:hyperlink r:id="rId22" w:history="1">
              <w:r w:rsidRPr="00F47918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СП 396.1325800.2018</w:t>
              </w:r>
            </w:hyperlink>
          </w:p>
        </w:tc>
      </w:tr>
      <w:tr w:rsidR="0069307F" w:rsidRPr="00F47918" w:rsidTr="007B7B83"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49"/>
            <w:bookmarkEnd w:id="2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&lt;*&gt; Ширина пешеходной дорожки 1,5 м, велосипедной - 2,5 м.</w:t>
            </w:r>
          </w:p>
        </w:tc>
      </w:tr>
      <w:tr w:rsidR="0069307F" w:rsidRPr="00F47918" w:rsidTr="007B7B83">
        <w:tc>
          <w:tcPr>
            <w:tcW w:w="99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50"/>
            <w:bookmarkEnd w:id="3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&lt;**&gt; Ширина пешеходной дорожки 1,5 м, велосипедной - 1,75 м.</w:t>
            </w:r>
          </w:p>
        </w:tc>
      </w:tr>
      <w:tr w:rsidR="0069307F" w:rsidRPr="00F47918" w:rsidTr="007B7B83">
        <w:tc>
          <w:tcPr>
            <w:tcW w:w="998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51"/>
            <w:bookmarkEnd w:id="4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&lt;***&gt; При интенсивности движения не более 30 вел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и 15 пеш./ч.</w:t>
            </w:r>
          </w:p>
        </w:tc>
      </w:tr>
      <w:tr w:rsidR="0069307F" w:rsidRPr="00F47918" w:rsidTr="007B7B83">
        <w:tc>
          <w:tcPr>
            <w:tcW w:w="998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Par52"/>
            <w:bookmarkEnd w:id="5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&lt;****&gt; При интенсивности движения не более 30 вел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и 50 пеш./ч.</w:t>
            </w:r>
          </w:p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Примечание.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велосипедных дорожек и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велопешеходных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дорожек следует предусматривать в качестве самостоятельных элементов сети дорог на стадии проектирования, строительства и реконструкции участков сети дорог, зон жилой застройки, общественных центров, в том числе торговых центров, учебных заведений, зон рекреации, на объектах транспорта (включая автовокзалы, автостанции, станции поездов пригородного сообщения, остановочные пункты) и на подходах к ним.</w:t>
            </w:r>
            <w:proofErr w:type="gramEnd"/>
          </w:p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При размещении объектов нового строительства, предусматривающих комплексную многоквартирную жилую застройку, рекомендуется организовывать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велотранспортную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инфраструктуру на рекреационных территориях, в том числе для детей в пределах участка, отведенного под застройку объекта.</w:t>
            </w:r>
          </w:p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Велодорожки,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велопешеходные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дорожки должны размещаться вдоль автомобильных дорог общего пользования (элементов улично-дорожной сети населенного пункта), в жилых кварталах, в озелененных территориях общего пользования, вдоль набережных.</w:t>
            </w:r>
          </w:p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 зонах массового отдыха населения и на других озелененных территориях рекомендуется предусматривать велодорожки, изолированные от улиц, дорог и пешеходного движения</w:t>
            </w:r>
          </w:p>
        </w:tc>
      </w:tr>
    </w:tbl>
    <w:p w:rsidR="0069307F" w:rsidRPr="00F47918" w:rsidRDefault="0069307F" w:rsidP="006930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307F" w:rsidRPr="00F47918" w:rsidRDefault="0069307F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Расчетные показатели количества парковочных мест для велосипедов представлены в таблице 4.10.2</w:t>
      </w:r>
    </w:p>
    <w:p w:rsidR="0069307F" w:rsidRPr="00F47918" w:rsidRDefault="0069307F" w:rsidP="00F4791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4.10.2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5046"/>
        <w:gridCol w:w="374"/>
        <w:gridCol w:w="4253"/>
      </w:tblGrid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Тип объекта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Расчетные показатели количества парковочных мест для велосипедов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 административно-делового назначения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Коммерческо-деловые центры, офисные здания и помещения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2 - 4 на 100 м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Банки и банковские утверждения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2 - 4 на 100 м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 науки и учебно-образовательного назначения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Высшие учебные заведения, профессиональные образовательные организации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60 на 100 студентов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50 на 100 школьников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 торгово-бытового и коммунального назначения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Специализированные объекты торгового 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назначения с широким ассортиментом товаров продовольственной и непродовольственной групп (отдельно стоящие супермаркеты)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5 - 7 на 100 м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Торговые центры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6 - 8 на 100 м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 культуры и искусства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Театры, концертные залы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20 - 25 на 100 посетителей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Кинотеатры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25 на 100 единовременных посетителей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Развлекательные центры, дискотеки, ночные клубы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25 на 100 единовременных посетителей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Аттракционы/тематические парки развлечений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10 - 15 на 100 единовременных посетителей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Места отдыха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20 - 35 на 100 единовременных посетителей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 здравоохранения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Поликлиники, в том числе амбулатории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25 на 100 единовременных посетителей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Больницы, профилактории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30 на 100 коек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Специализированные клиники, реабилитационные центры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20 на 100 коек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 социального обслуживания населения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Интернаты и пансионаты для престарелых и инвалидов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10 на 100 коек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Объекты физической культуры и спорта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Спортивные комплексы и стадионы с трибунами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20 на 100 единовременных посетителей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Спортивные площадки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20 на поле</w:t>
            </w:r>
          </w:p>
        </w:tc>
      </w:tr>
      <w:tr w:rsidR="0069307F" w:rsidRPr="00F47918" w:rsidTr="00F47918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Оздоровительные комплексы (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фитнес-клубы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ФОКи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, спортивные и тренажерные залы, бассейны)</w:t>
            </w:r>
          </w:p>
        </w:tc>
        <w:tc>
          <w:tcPr>
            <w:tcW w:w="4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35 на 100 единовременных посетителей</w:t>
            </w:r>
          </w:p>
        </w:tc>
      </w:tr>
      <w:tr w:rsidR="0069307F" w:rsidRPr="00F47918" w:rsidTr="00F47918">
        <w:tc>
          <w:tcPr>
            <w:tcW w:w="101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07F" w:rsidRPr="00F47918" w:rsidRDefault="0069307F" w:rsidP="00B42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Примечание. </w:t>
            </w:r>
            <w:proofErr w:type="spell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Велопарковки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, велостоянки устраиваются возле учебных заведений, кинотеатров, магазинов площадью более 100 м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, торговых центров, обзорных площадок, музеев, пересадочных узлов, иных объектов.</w:t>
            </w:r>
          </w:p>
          <w:p w:rsidR="0069307F" w:rsidRPr="00F47918" w:rsidRDefault="0069307F" w:rsidP="00B42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Уличные велостоянки рекомендуется размещать на расстоянии не более 30 м от входа в учреждения, в хорошо освещенных местах с высокой интенсивностью пешеходного движения, в зоне обзора камер видеонаблюдения.</w:t>
            </w:r>
          </w:p>
          <w:p w:rsidR="0069307F" w:rsidRPr="00F47918" w:rsidRDefault="0069307F" w:rsidP="00B42D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При проектировании нового жилого дома рекомендуется предусматривать наличие мест постоянного хранения в количестве не менее 0,8 места на каждую квартиру. В существующих жилых зданиях количество мест определяется текущим спросом. Рекомендуется размещение велосипедов на место постоянного хранения в подвальных помещениях, специально отведенных 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помещениях в подъездах домов, велосипедных гаражах</w:t>
            </w:r>
          </w:p>
        </w:tc>
      </w:tr>
    </w:tbl>
    <w:p w:rsidR="00B42D2B" w:rsidRDefault="00B42D2B" w:rsidP="007B7B8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42D2B" w:rsidRDefault="00B42D2B" w:rsidP="007B7B8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7B7B8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7B7B83">
        <w:rPr>
          <w:rFonts w:ascii="Times New Roman" w:hAnsi="Times New Roman" w:cs="Times New Roman"/>
          <w:sz w:val="24"/>
          <w:szCs w:val="24"/>
        </w:rPr>
        <w:t>2</w:t>
      </w:r>
      <w:r w:rsidRPr="00F47918">
        <w:rPr>
          <w:rFonts w:ascii="Times New Roman" w:hAnsi="Times New Roman" w:cs="Times New Roman"/>
          <w:sz w:val="24"/>
          <w:szCs w:val="24"/>
        </w:rPr>
        <w:t xml:space="preserve">. </w:t>
      </w:r>
      <w:r w:rsidR="007B7B83">
        <w:rPr>
          <w:rFonts w:ascii="Times New Roman" w:hAnsi="Times New Roman" w:cs="Times New Roman"/>
          <w:sz w:val="24"/>
          <w:szCs w:val="24"/>
        </w:rPr>
        <w:t>М</w:t>
      </w:r>
      <w:r w:rsidR="007B7B83" w:rsidRPr="00F47918">
        <w:rPr>
          <w:rFonts w:ascii="Times New Roman" w:hAnsi="Times New Roman" w:cs="Times New Roman"/>
          <w:sz w:val="24"/>
          <w:szCs w:val="24"/>
        </w:rPr>
        <w:t>атериалы по обоснованию расчетных показателей,</w:t>
      </w:r>
      <w:r w:rsidR="007B7B83">
        <w:rPr>
          <w:rFonts w:ascii="Times New Roman" w:hAnsi="Times New Roman" w:cs="Times New Roman"/>
          <w:sz w:val="24"/>
          <w:szCs w:val="24"/>
        </w:rPr>
        <w:t xml:space="preserve"> </w:t>
      </w:r>
      <w:r w:rsidR="007B7B83" w:rsidRPr="00F47918">
        <w:rPr>
          <w:rFonts w:ascii="Times New Roman" w:hAnsi="Times New Roman" w:cs="Times New Roman"/>
          <w:sz w:val="24"/>
          <w:szCs w:val="24"/>
        </w:rPr>
        <w:t>содержащихся в основной части нормативов градостроительного</w:t>
      </w:r>
      <w:r w:rsidR="007B7B83">
        <w:rPr>
          <w:rFonts w:ascii="Times New Roman" w:hAnsi="Times New Roman" w:cs="Times New Roman"/>
          <w:sz w:val="24"/>
          <w:szCs w:val="24"/>
        </w:rPr>
        <w:t xml:space="preserve"> </w:t>
      </w:r>
      <w:r w:rsidR="007B7B83" w:rsidRPr="00F47918">
        <w:rPr>
          <w:rFonts w:ascii="Times New Roman" w:hAnsi="Times New Roman" w:cs="Times New Roman"/>
          <w:sz w:val="24"/>
          <w:szCs w:val="24"/>
        </w:rPr>
        <w:t>проектирования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5. Административно-территориальное устройство</w:t>
      </w:r>
    </w:p>
    <w:p w:rsidR="008D33F4" w:rsidRPr="00B52E61" w:rsidRDefault="008D33F4" w:rsidP="00F47918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proofErr w:type="spellStart"/>
      <w:r w:rsidRPr="00B52E61">
        <w:rPr>
          <w:b/>
          <w:bCs/>
        </w:rPr>
        <w:t>Балезинский</w:t>
      </w:r>
      <w:proofErr w:type="spellEnd"/>
      <w:r w:rsidRPr="00B52E61">
        <w:rPr>
          <w:b/>
          <w:bCs/>
        </w:rPr>
        <w:t xml:space="preserve"> район </w:t>
      </w:r>
      <w:r w:rsidRPr="00B52E61">
        <w:t>образован в 1929 году</w:t>
      </w:r>
      <w:r w:rsidRPr="00B52E61">
        <w:rPr>
          <w:b/>
          <w:bCs/>
        </w:rPr>
        <w:t>, </w:t>
      </w:r>
      <w:r w:rsidRPr="00B52E61">
        <w:t xml:space="preserve">расположен в северной части Удмуртской Республики, граничит с </w:t>
      </w:r>
      <w:proofErr w:type="spellStart"/>
      <w:r w:rsidRPr="00B52E61">
        <w:t>Глазовским</w:t>
      </w:r>
      <w:proofErr w:type="spellEnd"/>
      <w:r w:rsidRPr="00B52E61">
        <w:t xml:space="preserve">, </w:t>
      </w:r>
      <w:proofErr w:type="spellStart"/>
      <w:r w:rsidRPr="00B52E61">
        <w:t>Игринским</w:t>
      </w:r>
      <w:proofErr w:type="spellEnd"/>
      <w:r w:rsidRPr="00B52E61">
        <w:t xml:space="preserve">, Красногорским и </w:t>
      </w:r>
      <w:proofErr w:type="spellStart"/>
      <w:r w:rsidRPr="00B52E61">
        <w:t>Кезским</w:t>
      </w:r>
      <w:proofErr w:type="spellEnd"/>
      <w:r w:rsidRPr="00B52E61">
        <w:t xml:space="preserve"> округами Удмуртской Республики, а также с Кировской областью и Пермским краем. Приобрел статус округа в 2021 году.</w:t>
      </w:r>
    </w:p>
    <w:p w:rsidR="008D33F4" w:rsidRPr="00B52E61" w:rsidRDefault="008D33F4" w:rsidP="00F47918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B52E61">
        <w:t>Северную часть района занимают южные склоны Верхнекамской возвышенности. Около деревни Новосёлы (ТО «</w:t>
      </w:r>
      <w:proofErr w:type="spellStart"/>
      <w:r w:rsidRPr="00B52E61">
        <w:t>Карсовайское</w:t>
      </w:r>
      <w:proofErr w:type="spellEnd"/>
      <w:r w:rsidRPr="00B52E61">
        <w:t>») находится одно из самых высоких мест в Удмуртии – 323 метра над уровнем моря.</w:t>
      </w:r>
    </w:p>
    <w:p w:rsidR="008D33F4" w:rsidRPr="00B52E61" w:rsidRDefault="008D33F4" w:rsidP="00F47918">
      <w:pPr>
        <w:pStyle w:val="a3"/>
        <w:shd w:val="clear" w:color="auto" w:fill="FFFFFF"/>
        <w:spacing w:before="0" w:beforeAutospacing="0" w:after="0" w:afterAutospacing="0"/>
        <w:ind w:firstLine="851"/>
        <w:jc w:val="both"/>
      </w:pPr>
      <w:r w:rsidRPr="00B52E61">
        <w:t xml:space="preserve">В состав </w:t>
      </w:r>
      <w:proofErr w:type="spellStart"/>
      <w:r w:rsidRPr="00B52E61">
        <w:t>Балезинского</w:t>
      </w:r>
      <w:proofErr w:type="spellEnd"/>
      <w:r w:rsidRPr="00B52E61">
        <w:t xml:space="preserve"> округа входят 136 населенных пунктов, административный центр - поселок Балезино. Площадь те</w:t>
      </w:r>
      <w:r w:rsidR="00B42D2B">
        <w:t>рритории района – 2434,7 кв. км.</w:t>
      </w:r>
    </w:p>
    <w:p w:rsidR="008D33F4" w:rsidRPr="00F47918" w:rsidRDefault="00837C38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 xml:space="preserve">Муниципальное образование «Муниципальный округ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расположено от исходной точки - точки стыка границ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 и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Игринского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 вдоль границы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Игринского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лесхоза и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лесхоза по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смежеству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Игринским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Удмуртской Республики в направлении от границы с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Кезским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Удмуртской Республики до границы с Красногорским районом Удмуртской Республики 40,8 км, далее по землям лесного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 xml:space="preserve">фонда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Ушурского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лесничества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лесхоза, землям СПК «Свобода» по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смежеству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с Красногорским районом Удмуртской Республики в направлении от границы с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Игринским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Удмуртской Республики до границы с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Глазовским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Удмуртской Республики 32 км</w:t>
      </w:r>
      <w:r w:rsidR="008D33F4" w:rsidRPr="00F47918">
        <w:rPr>
          <w:rFonts w:ascii="Times New Roman" w:hAnsi="Times New Roman" w:cs="Times New Roman"/>
          <w:sz w:val="24"/>
          <w:szCs w:val="24"/>
        </w:rPr>
        <w:t xml:space="preserve">, </w:t>
      </w:r>
      <w:r w:rsidRPr="00F47918">
        <w:rPr>
          <w:rFonts w:ascii="Times New Roman" w:hAnsi="Times New Roman" w:cs="Times New Roman"/>
          <w:sz w:val="24"/>
          <w:szCs w:val="24"/>
        </w:rPr>
        <w:t xml:space="preserve">землям лесного фонда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Карсовайского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лесничества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лесхоза по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смежеству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Глазовским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Удмуртской Республики в направлении от границы с Красногорским районом Удмуртской Республики до границы с Кировской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 xml:space="preserve">областью 154 км, далее по землям лесного фонда Кировской области, землям лесного фонда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Кулигинского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лесничества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лесхоза по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смежеству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Афанасьевским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Кировской области в направлении от границы с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Глазовским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Удмуртской Республики до границы с Пермской областью 75 км, далее по землям лесного фонда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Кулигинского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лесничества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лесхоза, по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смежеству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с Пермской областью и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Кезским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Удмуртской Республики в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направлении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от границы с Кировской областью до границы с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Игринским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районом Удмуртской Республики 145 км до исходной точки. 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Административный центр муниципального района - </w:t>
      </w:r>
      <w:r w:rsidR="00D334E2" w:rsidRPr="00F47918">
        <w:rPr>
          <w:rFonts w:ascii="Times New Roman" w:hAnsi="Times New Roman" w:cs="Times New Roman"/>
          <w:sz w:val="24"/>
          <w:szCs w:val="24"/>
        </w:rPr>
        <w:t xml:space="preserve">посёлок </w:t>
      </w:r>
      <w:r w:rsidR="00852E61" w:rsidRPr="00F47918">
        <w:rPr>
          <w:rFonts w:ascii="Times New Roman" w:hAnsi="Times New Roman" w:cs="Times New Roman"/>
          <w:sz w:val="24"/>
          <w:szCs w:val="24"/>
        </w:rPr>
        <w:t>Балезино</w:t>
      </w:r>
      <w:r w:rsidRPr="00F47918">
        <w:rPr>
          <w:rFonts w:ascii="Times New Roman" w:hAnsi="Times New Roman" w:cs="Times New Roman"/>
          <w:sz w:val="24"/>
          <w:szCs w:val="24"/>
        </w:rPr>
        <w:t xml:space="preserve">. На территории района </w:t>
      </w:r>
      <w:r w:rsidR="00852E61" w:rsidRPr="00F47918">
        <w:rPr>
          <w:rFonts w:ascii="Times New Roman" w:hAnsi="Times New Roman" w:cs="Times New Roman"/>
          <w:sz w:val="24"/>
          <w:szCs w:val="24"/>
        </w:rPr>
        <w:t>1</w:t>
      </w:r>
      <w:r w:rsidR="00D334E2" w:rsidRPr="00F47918">
        <w:rPr>
          <w:rFonts w:ascii="Times New Roman" w:hAnsi="Times New Roman" w:cs="Times New Roman"/>
          <w:sz w:val="24"/>
          <w:szCs w:val="24"/>
        </w:rPr>
        <w:t xml:space="preserve"> территориальн</w:t>
      </w:r>
      <w:r w:rsidR="00852E61" w:rsidRPr="00F47918">
        <w:rPr>
          <w:rFonts w:ascii="Times New Roman" w:hAnsi="Times New Roman" w:cs="Times New Roman"/>
          <w:sz w:val="24"/>
          <w:szCs w:val="24"/>
        </w:rPr>
        <w:t>ое</w:t>
      </w:r>
      <w:r w:rsidR="00D334E2" w:rsidRPr="00F47918">
        <w:rPr>
          <w:rFonts w:ascii="Times New Roman" w:hAnsi="Times New Roman" w:cs="Times New Roman"/>
          <w:sz w:val="24"/>
          <w:szCs w:val="24"/>
        </w:rPr>
        <w:t xml:space="preserve"> управлени</w:t>
      </w:r>
      <w:r w:rsidR="00852E61" w:rsidRPr="00F47918">
        <w:rPr>
          <w:rFonts w:ascii="Times New Roman" w:hAnsi="Times New Roman" w:cs="Times New Roman"/>
          <w:sz w:val="24"/>
          <w:szCs w:val="24"/>
        </w:rPr>
        <w:t>е</w:t>
      </w:r>
      <w:r w:rsidR="00D334E2" w:rsidRPr="00F47918">
        <w:rPr>
          <w:rFonts w:ascii="Times New Roman" w:hAnsi="Times New Roman" w:cs="Times New Roman"/>
          <w:sz w:val="24"/>
          <w:szCs w:val="24"/>
        </w:rPr>
        <w:t>,</w:t>
      </w:r>
      <w:r w:rsidRPr="00F47918">
        <w:rPr>
          <w:rFonts w:ascii="Times New Roman" w:hAnsi="Times New Roman" w:cs="Times New Roman"/>
          <w:sz w:val="24"/>
          <w:szCs w:val="24"/>
        </w:rPr>
        <w:t xml:space="preserve"> </w:t>
      </w:r>
      <w:r w:rsidR="00852E61" w:rsidRPr="00F47918">
        <w:rPr>
          <w:rFonts w:ascii="Times New Roman" w:hAnsi="Times New Roman" w:cs="Times New Roman"/>
          <w:sz w:val="24"/>
          <w:szCs w:val="24"/>
        </w:rPr>
        <w:t>16</w:t>
      </w:r>
      <w:r w:rsidR="00D334E2" w:rsidRPr="00F47918">
        <w:rPr>
          <w:rFonts w:ascii="Times New Roman" w:hAnsi="Times New Roman" w:cs="Times New Roman"/>
          <w:sz w:val="24"/>
          <w:szCs w:val="24"/>
        </w:rPr>
        <w:t xml:space="preserve"> территориальных отдел</w:t>
      </w:r>
      <w:r w:rsidR="00852E61" w:rsidRPr="00F47918">
        <w:rPr>
          <w:rFonts w:ascii="Times New Roman" w:hAnsi="Times New Roman" w:cs="Times New Roman"/>
          <w:sz w:val="24"/>
          <w:szCs w:val="24"/>
        </w:rPr>
        <w:t>ов</w:t>
      </w:r>
      <w:r w:rsidRPr="00F47918">
        <w:rPr>
          <w:rFonts w:ascii="Times New Roman" w:hAnsi="Times New Roman" w:cs="Times New Roman"/>
          <w:sz w:val="24"/>
          <w:szCs w:val="24"/>
        </w:rPr>
        <w:t xml:space="preserve">, </w:t>
      </w:r>
      <w:r w:rsidR="002501ED">
        <w:rPr>
          <w:rFonts w:ascii="Times New Roman" w:hAnsi="Times New Roman" w:cs="Times New Roman"/>
          <w:sz w:val="24"/>
          <w:szCs w:val="24"/>
        </w:rPr>
        <w:t>136</w:t>
      </w:r>
      <w:r w:rsidRPr="00F47918">
        <w:rPr>
          <w:rFonts w:ascii="Times New Roman" w:hAnsi="Times New Roman" w:cs="Times New Roman"/>
          <w:sz w:val="24"/>
          <w:szCs w:val="24"/>
        </w:rPr>
        <w:t xml:space="preserve"> населенных пункт</w:t>
      </w:r>
      <w:r w:rsidR="00D334E2" w:rsidRPr="00F47918">
        <w:rPr>
          <w:rFonts w:ascii="Times New Roman" w:hAnsi="Times New Roman" w:cs="Times New Roman"/>
          <w:sz w:val="24"/>
          <w:szCs w:val="24"/>
        </w:rPr>
        <w:t>ов.</w:t>
      </w:r>
    </w:p>
    <w:p w:rsidR="00B0469E" w:rsidRPr="00F47918" w:rsidRDefault="00115D2C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Для района характерна развитая транспортная сеть, высокая плотность автодороги и высокая доля дорог с твердым покрытием, что обеспечивает хорошую доступность районного центра и локальных </w:t>
      </w: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подцентров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- получасовая транспортная доступность обеспечивается практически для всех населенных пунктов района. Транспортный каркас формируется региональными дорогами. Главную роль играет автодорога «</w:t>
      </w:r>
      <w:r w:rsidR="00E7476C" w:rsidRPr="00F47918">
        <w:rPr>
          <w:rFonts w:ascii="Times New Roman" w:hAnsi="Times New Roman" w:cs="Times New Roman"/>
          <w:sz w:val="24"/>
          <w:szCs w:val="24"/>
        </w:rPr>
        <w:t>Игра-Глазов</w:t>
      </w:r>
      <w:r w:rsidRPr="00F47918">
        <w:rPr>
          <w:rFonts w:ascii="Times New Roman" w:hAnsi="Times New Roman" w:cs="Times New Roman"/>
          <w:sz w:val="24"/>
          <w:szCs w:val="24"/>
        </w:rPr>
        <w:t>», которая пересекает район с юг</w:t>
      </w:r>
      <w:r w:rsidR="00E7476C" w:rsidRPr="00F47918">
        <w:rPr>
          <w:rFonts w:ascii="Times New Roman" w:hAnsi="Times New Roman" w:cs="Times New Roman"/>
          <w:sz w:val="24"/>
          <w:szCs w:val="24"/>
        </w:rPr>
        <w:t>а на север</w:t>
      </w:r>
      <w:r w:rsidR="00B0469E" w:rsidRPr="00F47918">
        <w:rPr>
          <w:rFonts w:ascii="Times New Roman" w:hAnsi="Times New Roman" w:cs="Times New Roman"/>
          <w:sz w:val="24"/>
          <w:szCs w:val="24"/>
        </w:rPr>
        <w:t>.</w:t>
      </w:r>
    </w:p>
    <w:p w:rsidR="00115D2C" w:rsidRPr="00F47918" w:rsidRDefault="00115D2C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Планировочную ткань района составляют, прежде всего, земли лесного фонда, а также земли сельскохозяйственного назначения.</w:t>
      </w:r>
    </w:p>
    <w:p w:rsidR="00115D2C" w:rsidRPr="00F47918" w:rsidRDefault="00115D2C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="00E7476C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="00E7476C" w:rsidRPr="00F47918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F47918">
        <w:rPr>
          <w:rFonts w:ascii="Times New Roman" w:hAnsi="Times New Roman" w:cs="Times New Roman"/>
          <w:sz w:val="24"/>
          <w:szCs w:val="24"/>
        </w:rPr>
        <w:t xml:space="preserve"> наход</w:t>
      </w:r>
      <w:r w:rsidR="00E7476C" w:rsidRPr="00F47918">
        <w:rPr>
          <w:rFonts w:ascii="Times New Roman" w:hAnsi="Times New Roman" w:cs="Times New Roman"/>
          <w:sz w:val="24"/>
          <w:szCs w:val="24"/>
        </w:rPr>
        <w:t>и</w:t>
      </w:r>
      <w:r w:rsidRPr="00F47918">
        <w:rPr>
          <w:rFonts w:ascii="Times New Roman" w:hAnsi="Times New Roman" w:cs="Times New Roman"/>
          <w:sz w:val="24"/>
          <w:szCs w:val="24"/>
        </w:rPr>
        <w:t>тся особо</w:t>
      </w:r>
      <w:r w:rsidR="00E7476C" w:rsidRPr="00F479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охраняемы</w:t>
      </w:r>
      <w:r w:rsidR="00E7476C" w:rsidRPr="00F47918">
        <w:rPr>
          <w:rFonts w:ascii="Times New Roman" w:hAnsi="Times New Roman" w:cs="Times New Roman"/>
          <w:sz w:val="24"/>
          <w:szCs w:val="24"/>
        </w:rPr>
        <w:t>й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природны</w:t>
      </w:r>
      <w:r w:rsidR="00E7476C" w:rsidRPr="00F47918">
        <w:rPr>
          <w:rFonts w:ascii="Times New Roman" w:hAnsi="Times New Roman" w:cs="Times New Roman"/>
          <w:sz w:val="24"/>
          <w:szCs w:val="24"/>
        </w:rPr>
        <w:t>й</w:t>
      </w:r>
      <w:r w:rsidRPr="00F47918">
        <w:rPr>
          <w:rFonts w:ascii="Times New Roman" w:hAnsi="Times New Roman" w:cs="Times New Roman"/>
          <w:sz w:val="24"/>
          <w:szCs w:val="24"/>
        </w:rPr>
        <w:t xml:space="preserve"> территории (ООПТ</w:t>
      </w:r>
      <w:r w:rsidR="00E7476C" w:rsidRPr="00F4791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E7476C" w:rsidRPr="00F47918">
        <w:rPr>
          <w:rFonts w:ascii="Times New Roman" w:hAnsi="Times New Roman" w:cs="Times New Roman"/>
          <w:sz w:val="24"/>
          <w:szCs w:val="24"/>
        </w:rPr>
        <w:t>Кепский</w:t>
      </w:r>
      <w:proofErr w:type="spellEnd"/>
      <w:r w:rsidR="00E7476C" w:rsidRPr="00F47918">
        <w:rPr>
          <w:rFonts w:ascii="Times New Roman" w:hAnsi="Times New Roman" w:cs="Times New Roman"/>
          <w:sz w:val="24"/>
          <w:szCs w:val="24"/>
        </w:rPr>
        <w:t>»</w:t>
      </w:r>
      <w:r w:rsidRPr="00F47918">
        <w:rPr>
          <w:rFonts w:ascii="Times New Roman" w:hAnsi="Times New Roman" w:cs="Times New Roman"/>
          <w:sz w:val="24"/>
          <w:szCs w:val="24"/>
        </w:rPr>
        <w:t>).</w:t>
      </w:r>
    </w:p>
    <w:p w:rsidR="00115D2C" w:rsidRPr="00F47918" w:rsidRDefault="006C704C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C704C">
        <w:rPr>
          <w:rFonts w:ascii="Times New Roman" w:hAnsi="Times New Roman" w:cs="Times New Roman"/>
          <w:sz w:val="24"/>
          <w:szCs w:val="24"/>
        </w:rPr>
        <w:t xml:space="preserve">По территории района протекает 179 рек и ручьев. Крупнейшая из рек –  Чепца, Кама, </w:t>
      </w:r>
      <w:proofErr w:type="spellStart"/>
      <w:r w:rsidRPr="006C704C">
        <w:rPr>
          <w:rFonts w:ascii="Times New Roman" w:hAnsi="Times New Roman" w:cs="Times New Roman"/>
          <w:sz w:val="24"/>
          <w:szCs w:val="24"/>
        </w:rPr>
        <w:t>Пызеп</w:t>
      </w:r>
      <w:proofErr w:type="spellEnd"/>
      <w:r w:rsidRPr="006C70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704C">
        <w:rPr>
          <w:rFonts w:ascii="Times New Roman" w:hAnsi="Times New Roman" w:cs="Times New Roman"/>
          <w:sz w:val="24"/>
          <w:szCs w:val="24"/>
        </w:rPr>
        <w:t>Кеп</w:t>
      </w:r>
      <w:proofErr w:type="spellEnd"/>
      <w:r w:rsidRPr="006C704C">
        <w:rPr>
          <w:rFonts w:ascii="Times New Roman" w:hAnsi="Times New Roman" w:cs="Times New Roman"/>
          <w:sz w:val="24"/>
          <w:szCs w:val="24"/>
        </w:rPr>
        <w:t xml:space="preserve">, Люк, </w:t>
      </w:r>
      <w:proofErr w:type="spellStart"/>
      <w:r w:rsidRPr="006C704C">
        <w:rPr>
          <w:rFonts w:ascii="Times New Roman" w:hAnsi="Times New Roman" w:cs="Times New Roman"/>
          <w:sz w:val="24"/>
          <w:szCs w:val="24"/>
        </w:rPr>
        <w:t>Юнда</w:t>
      </w:r>
      <w:proofErr w:type="spellEnd"/>
      <w:r w:rsidRPr="006C704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C704C">
        <w:rPr>
          <w:rFonts w:ascii="Times New Roman" w:hAnsi="Times New Roman" w:cs="Times New Roman"/>
          <w:sz w:val="24"/>
          <w:szCs w:val="24"/>
        </w:rPr>
        <w:t>Сепыч</w:t>
      </w:r>
      <w:proofErr w:type="spellEnd"/>
      <w:r w:rsidRPr="006C704C">
        <w:rPr>
          <w:rFonts w:ascii="Times New Roman" w:hAnsi="Times New Roman" w:cs="Times New Roman"/>
          <w:sz w:val="24"/>
          <w:szCs w:val="24"/>
        </w:rPr>
        <w:t xml:space="preserve"> и их многочисленные притоки. </w:t>
      </w:r>
      <w:r w:rsidR="00115D2C" w:rsidRPr="00BB0E47">
        <w:rPr>
          <w:rFonts w:ascii="Times New Roman" w:hAnsi="Times New Roman" w:cs="Times New Roman"/>
          <w:sz w:val="24"/>
          <w:szCs w:val="24"/>
        </w:rPr>
        <w:t>Главны</w:t>
      </w:r>
      <w:r w:rsidR="00E7476C" w:rsidRPr="00BB0E47">
        <w:rPr>
          <w:rFonts w:ascii="Times New Roman" w:hAnsi="Times New Roman" w:cs="Times New Roman"/>
          <w:sz w:val="24"/>
          <w:szCs w:val="24"/>
        </w:rPr>
        <w:t xml:space="preserve">е водные артерии района – река Чепца. </w:t>
      </w:r>
      <w:r w:rsidR="00115D2C" w:rsidRPr="00BB0E47">
        <w:rPr>
          <w:rFonts w:ascii="Times New Roman" w:hAnsi="Times New Roman" w:cs="Times New Roman"/>
          <w:sz w:val="24"/>
          <w:szCs w:val="24"/>
        </w:rPr>
        <w:t xml:space="preserve">На малых реках построены пруды:  </w:t>
      </w:r>
      <w:r w:rsidR="00BB0E47" w:rsidRPr="00BB0E47">
        <w:rPr>
          <w:rFonts w:ascii="Times New Roman" w:hAnsi="Times New Roman" w:cs="Times New Roman"/>
          <w:sz w:val="24"/>
          <w:szCs w:val="24"/>
        </w:rPr>
        <w:t>104</w:t>
      </w:r>
      <w:r w:rsidR="00115D2C" w:rsidRPr="00BB0E47">
        <w:rPr>
          <w:rFonts w:ascii="Times New Roman" w:hAnsi="Times New Roman" w:cs="Times New Roman"/>
          <w:sz w:val="24"/>
          <w:szCs w:val="24"/>
        </w:rPr>
        <w:t xml:space="preserve"> действующих прудов.</w:t>
      </w:r>
    </w:p>
    <w:p w:rsidR="00E7476C" w:rsidRPr="00F47918" w:rsidRDefault="00115D2C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На территории района имеется множество памятников археологии, архитектуры, истории и культуры, которые находятся как в населенных пунктах, так и в долинах рек вне сел и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 xml:space="preserve">деревень. Большую часть памятников составляют памятники археологии: селища, могильники, поселения. 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Для подготовки расчетных показателей сельск</w:t>
      </w:r>
      <w:r w:rsidR="00E7476C" w:rsidRPr="00F47918">
        <w:rPr>
          <w:rFonts w:ascii="Times New Roman" w:hAnsi="Times New Roman" w:cs="Times New Roman"/>
          <w:sz w:val="24"/>
          <w:szCs w:val="24"/>
        </w:rPr>
        <w:t>их населенных</w:t>
      </w:r>
      <w:r w:rsidRPr="00F47918">
        <w:rPr>
          <w:rFonts w:ascii="Times New Roman" w:hAnsi="Times New Roman" w:cs="Times New Roman"/>
          <w:sz w:val="24"/>
          <w:szCs w:val="24"/>
        </w:rPr>
        <w:t xml:space="preserve"> пунктов в зависимости от проектной численности населения на расчетный срок подразделяется на группы в соответствии с таблицей 5.1.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5.1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B0469E" w:rsidRPr="00F47918">
        <w:tc>
          <w:tcPr>
            <w:tcW w:w="453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4535" w:type="dxa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Население (тыс. чел.)</w:t>
            </w:r>
          </w:p>
        </w:tc>
      </w:tr>
      <w:tr w:rsidR="00B0469E" w:rsidRPr="00F47918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Крупный</w:t>
            </w:r>
          </w:p>
        </w:tc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3</w:t>
            </w:r>
          </w:p>
        </w:tc>
      </w:tr>
      <w:tr w:rsidR="00B0469E" w:rsidRPr="00F47918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Большие</w:t>
            </w:r>
          </w:p>
        </w:tc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1 до 3</w:t>
            </w:r>
          </w:p>
        </w:tc>
      </w:tr>
      <w:tr w:rsidR="00B0469E" w:rsidRPr="00F47918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Средние</w:t>
            </w:r>
          </w:p>
        </w:tc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Свыше 0,2 до 1</w:t>
            </w:r>
          </w:p>
        </w:tc>
      </w:tr>
      <w:tr w:rsidR="00B0469E" w:rsidRPr="00F47918"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Малые</w:t>
            </w:r>
          </w:p>
        </w:tc>
        <w:tc>
          <w:tcPr>
            <w:tcW w:w="4535" w:type="dxa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До 0,2</w:t>
            </w:r>
          </w:p>
        </w:tc>
      </w:tr>
    </w:tbl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При подготовке документов территориального планирования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для применения дифференцированных показателей (норм) градостроительного проектирования следует учитывать: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>- имеющиеся ресурсы (транспортные, рекреационные, трудовые, природные, территориальные), их рациональное использование, состояние окружающей среды;</w:t>
      </w:r>
      <w:proofErr w:type="gramEnd"/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- развитие социально-демографических ситуаций и экономической базы муниципальных образований;</w:t>
      </w:r>
    </w:p>
    <w:p w:rsidR="00B0469E" w:rsidRPr="00F47918" w:rsidRDefault="006F2E17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роль муниципального района</w:t>
      </w:r>
      <w:r w:rsidR="00B0469E" w:rsidRPr="00F47918">
        <w:rPr>
          <w:rFonts w:ascii="Times New Roman" w:hAnsi="Times New Roman" w:cs="Times New Roman"/>
          <w:sz w:val="24"/>
          <w:szCs w:val="24"/>
        </w:rPr>
        <w:t xml:space="preserve"> в системе расселения, значение в системе формируемых центров обслуживания (межрайонного, районного и местного уровня), их историко-культурное значение, туристическо-рекреационный потенциал, прогнозируемую численность населения и другие местные особенности;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- оценку природно-климатических условий и данных об инженерно-геологических условиях территории.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6. Социально-демографический состав и плотность населения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Демографический потенциал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 во многом определяет перспективы их развития, экономическое и социальное благополучие и стабильность. Состояние демографической ситуации на территории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в целом отражает сложившиеся тенденции демографического развития в других муниципальных образованиях Удмуртской Республики и регионов Российской Федерации - это, прежде всего, постепенное сокращение численности, связанное с отрицательным естественным приростом населения (низкая рождаемость и заметно превышающая ее смертность), не перекрываемым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миграционными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притоком.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Демографическая ситуация складывается из естественного и миграционного прироста (убыли) населения. Оценка текущей демографической ситуации и исторически сложившихся тенденций является фундаментом для сценариев развития </w:t>
      </w:r>
      <w:proofErr w:type="spellStart"/>
      <w:r w:rsidR="006F2E17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="006F2E17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F47918">
        <w:rPr>
          <w:rFonts w:ascii="Times New Roman" w:hAnsi="Times New Roman" w:cs="Times New Roman"/>
          <w:sz w:val="24"/>
          <w:szCs w:val="24"/>
        </w:rPr>
        <w:t xml:space="preserve"> в том, что касается прогноза численности населения и человеческого потенциала.</w:t>
      </w:r>
    </w:p>
    <w:p w:rsidR="00B0469E" w:rsidRPr="00F47918" w:rsidRDefault="00B04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Динамика численности населения по годам приведена в таблице 6.1.</w:t>
      </w:r>
    </w:p>
    <w:p w:rsidR="00B0469E" w:rsidRPr="00F47918" w:rsidRDefault="00B046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Таблица 6.1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2"/>
        <w:gridCol w:w="1134"/>
        <w:gridCol w:w="992"/>
        <w:gridCol w:w="992"/>
        <w:gridCol w:w="1134"/>
        <w:gridCol w:w="993"/>
      </w:tblGrid>
      <w:tr w:rsidR="00B0469E" w:rsidRPr="00F47918" w:rsidTr="00E902CA">
        <w:tc>
          <w:tcPr>
            <w:tcW w:w="4882" w:type="dxa"/>
            <w:vMerge w:val="restart"/>
            <w:shd w:val="clear" w:color="auto" w:fill="auto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245" w:type="dxa"/>
            <w:gridSpan w:val="5"/>
            <w:shd w:val="clear" w:color="auto" w:fill="auto"/>
          </w:tcPr>
          <w:p w:rsidR="00B0469E" w:rsidRPr="00F47918" w:rsidRDefault="00B0469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Число населения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gram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(на 1 января</w:t>
            </w:r>
            <w:r w:rsidR="00B70833">
              <w:rPr>
                <w:rFonts w:ascii="Times New Roman" w:hAnsi="Times New Roman" w:cs="Times New Roman"/>
                <w:sz w:val="24"/>
                <w:szCs w:val="24"/>
              </w:rPr>
              <w:t xml:space="preserve"> 2024 г.</w:t>
            </w: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), чел.</w:t>
            </w:r>
          </w:p>
        </w:tc>
      </w:tr>
      <w:tr w:rsidR="001C0D56" w:rsidRPr="00F47918" w:rsidTr="001C0D56">
        <w:tc>
          <w:tcPr>
            <w:tcW w:w="4882" w:type="dxa"/>
            <w:vMerge/>
            <w:shd w:val="clear" w:color="auto" w:fill="auto"/>
          </w:tcPr>
          <w:p w:rsidR="00B0469E" w:rsidRPr="00F47918" w:rsidRDefault="00B0469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469E" w:rsidRPr="00F47918" w:rsidRDefault="00B0469E" w:rsidP="00AF5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52E1" w:rsidRPr="00F479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B0469E" w:rsidRPr="00F47918" w:rsidRDefault="00B0469E" w:rsidP="00AF5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F52E1" w:rsidRPr="00F479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B0469E" w:rsidRPr="00F47918" w:rsidRDefault="00B0469E" w:rsidP="00AF5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F52E1" w:rsidRPr="00F479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B0469E" w:rsidRPr="00F47918" w:rsidRDefault="00B0469E" w:rsidP="00AF5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F52E1" w:rsidRPr="00F479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B0469E" w:rsidRPr="00F47918" w:rsidRDefault="00B0469E" w:rsidP="00AF52E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F52E1" w:rsidRPr="00F479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C0D56" w:rsidRPr="00F47918" w:rsidTr="001C0D56">
        <w:tc>
          <w:tcPr>
            <w:tcW w:w="4882" w:type="dxa"/>
            <w:shd w:val="clear" w:color="auto" w:fill="auto"/>
          </w:tcPr>
          <w:p w:rsidR="00B0469E" w:rsidRPr="00F47918" w:rsidRDefault="00B0469E" w:rsidP="00AF52E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479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Численность населения </w:t>
            </w:r>
            <w:proofErr w:type="spellStart"/>
            <w:r w:rsidR="002373FD" w:rsidRPr="00F47918">
              <w:rPr>
                <w:rFonts w:ascii="Times New Roman" w:hAnsi="Times New Roman" w:cs="Times New Roman"/>
                <w:sz w:val="24"/>
                <w:szCs w:val="24"/>
              </w:rPr>
              <w:t>Балезинского</w:t>
            </w:r>
            <w:proofErr w:type="spellEnd"/>
            <w:r w:rsidRPr="00F47918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shd w:val="clear" w:color="auto" w:fill="auto"/>
          </w:tcPr>
          <w:p w:rsidR="00B0469E" w:rsidRPr="002501ED" w:rsidRDefault="00250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ED">
              <w:rPr>
                <w:rFonts w:ascii="Times New Roman" w:hAnsi="Times New Roman" w:cs="Times New Roman"/>
                <w:sz w:val="24"/>
                <w:szCs w:val="24"/>
              </w:rPr>
              <w:t>30459</w:t>
            </w:r>
          </w:p>
        </w:tc>
        <w:tc>
          <w:tcPr>
            <w:tcW w:w="992" w:type="dxa"/>
            <w:shd w:val="clear" w:color="auto" w:fill="auto"/>
          </w:tcPr>
          <w:p w:rsidR="00B0469E" w:rsidRPr="002501ED" w:rsidRDefault="00250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ED">
              <w:rPr>
                <w:rFonts w:ascii="Times New Roman" w:hAnsi="Times New Roman" w:cs="Times New Roman"/>
                <w:sz w:val="24"/>
                <w:szCs w:val="24"/>
              </w:rPr>
              <w:t>29779</w:t>
            </w:r>
          </w:p>
        </w:tc>
        <w:tc>
          <w:tcPr>
            <w:tcW w:w="992" w:type="dxa"/>
            <w:shd w:val="clear" w:color="auto" w:fill="auto"/>
          </w:tcPr>
          <w:p w:rsidR="00B0469E" w:rsidRPr="002501ED" w:rsidRDefault="00B42D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2926</w:t>
            </w:r>
            <w:r w:rsidR="002501ED" w:rsidRPr="002501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B0469E" w:rsidRPr="002501ED" w:rsidRDefault="00250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ED">
              <w:rPr>
                <w:rFonts w:ascii="Times New Roman" w:hAnsi="Times New Roman" w:cs="Times New Roman"/>
                <w:sz w:val="24"/>
                <w:szCs w:val="24"/>
              </w:rPr>
              <w:t>28699</w:t>
            </w:r>
          </w:p>
        </w:tc>
        <w:tc>
          <w:tcPr>
            <w:tcW w:w="993" w:type="dxa"/>
            <w:shd w:val="clear" w:color="auto" w:fill="auto"/>
          </w:tcPr>
          <w:p w:rsidR="00B0469E" w:rsidRPr="002501ED" w:rsidRDefault="002501E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01ED">
              <w:rPr>
                <w:rFonts w:ascii="Times New Roman" w:hAnsi="Times New Roman" w:cs="Times New Roman"/>
                <w:sz w:val="24"/>
                <w:szCs w:val="24"/>
              </w:rPr>
              <w:t>27261</w:t>
            </w:r>
          </w:p>
        </w:tc>
      </w:tr>
    </w:tbl>
    <w:p w:rsidR="00B0469E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Демографическая ситуация в </w:t>
      </w:r>
      <w:proofErr w:type="spellStart"/>
      <w:r w:rsidR="00E7476C" w:rsidRPr="00F47918">
        <w:rPr>
          <w:rFonts w:ascii="Times New Roman" w:hAnsi="Times New Roman" w:cs="Times New Roman"/>
          <w:sz w:val="24"/>
          <w:szCs w:val="24"/>
        </w:rPr>
        <w:t>Балезинском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районе на последующие периоды характеризуется продолжающимся процессом убыли населения.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>На момент корректировки документов территориального планирования или подготовки документации по планировке территории при фактической численности населения отличной от проектной, расчет осуществляется по фактически достигнутой численности населения.</w:t>
      </w:r>
      <w:proofErr w:type="gramEnd"/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7. Природно-климатические условия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Разработка нормативов градостроительного проектирования муниципального образования "Муниципальный округ </w:t>
      </w:r>
      <w:proofErr w:type="spellStart"/>
      <w:r w:rsidR="009C5692" w:rsidRPr="00F4791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542167" w:rsidRPr="00F47918">
        <w:rPr>
          <w:rFonts w:ascii="Times New Roman" w:hAnsi="Times New Roman" w:cs="Times New Roman"/>
          <w:sz w:val="24"/>
          <w:szCs w:val="24"/>
        </w:rPr>
        <w:t xml:space="preserve"> район</w:t>
      </w:r>
      <w:r w:rsidRPr="00F47918">
        <w:rPr>
          <w:rFonts w:ascii="Times New Roman" w:hAnsi="Times New Roman" w:cs="Times New Roman"/>
          <w:sz w:val="24"/>
          <w:szCs w:val="24"/>
        </w:rPr>
        <w:t xml:space="preserve"> Удмуртской Республики" осуществлялась с учетом природно-климатических характеристик муниципального района по следующим направлениям: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- климатические особенности;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- опасные природные явления.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Климатические особенности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В течение года средняя температура воздуха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составляет </w:t>
      </w:r>
      <w:r w:rsidR="00F90A86" w:rsidRPr="00F47918">
        <w:rPr>
          <w:rFonts w:ascii="Times New Roman" w:hAnsi="Times New Roman" w:cs="Times New Roman"/>
          <w:sz w:val="24"/>
          <w:szCs w:val="24"/>
        </w:rPr>
        <w:t>+2,1</w:t>
      </w:r>
      <w:r w:rsidRPr="00F47918">
        <w:rPr>
          <w:rFonts w:ascii="Times New Roman" w:hAnsi="Times New Roman" w:cs="Times New Roman"/>
          <w:sz w:val="24"/>
          <w:szCs w:val="24"/>
        </w:rPr>
        <w:t xml:space="preserve"> град. C. Самым холодным месяцем является январь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средней температурой -1</w:t>
      </w:r>
      <w:r w:rsidR="00F90A86" w:rsidRPr="00F47918">
        <w:rPr>
          <w:rFonts w:ascii="Times New Roman" w:hAnsi="Times New Roman" w:cs="Times New Roman"/>
          <w:sz w:val="24"/>
          <w:szCs w:val="24"/>
        </w:rPr>
        <w:t>4,3</w:t>
      </w:r>
      <w:r w:rsidRPr="00F47918">
        <w:rPr>
          <w:rFonts w:ascii="Times New Roman" w:hAnsi="Times New Roman" w:cs="Times New Roman"/>
          <w:sz w:val="24"/>
          <w:szCs w:val="24"/>
        </w:rPr>
        <w:t xml:space="preserve"> град. C, а самым теплым - </w:t>
      </w:r>
      <w:r w:rsidR="00F90A86" w:rsidRPr="00F47918">
        <w:rPr>
          <w:rFonts w:ascii="Times New Roman" w:hAnsi="Times New Roman" w:cs="Times New Roman"/>
          <w:sz w:val="24"/>
          <w:szCs w:val="24"/>
        </w:rPr>
        <w:t>июль</w:t>
      </w:r>
      <w:r w:rsidRPr="00F47918">
        <w:rPr>
          <w:rFonts w:ascii="Times New Roman" w:hAnsi="Times New Roman" w:cs="Times New Roman"/>
          <w:sz w:val="24"/>
          <w:szCs w:val="24"/>
        </w:rPr>
        <w:t>, когда столбик термометра в среднем поднимается до 18</w:t>
      </w:r>
      <w:r w:rsidR="00F90A86" w:rsidRPr="00F47918">
        <w:rPr>
          <w:rFonts w:ascii="Times New Roman" w:hAnsi="Times New Roman" w:cs="Times New Roman"/>
          <w:sz w:val="24"/>
          <w:szCs w:val="24"/>
        </w:rPr>
        <w:t>,4</w:t>
      </w:r>
      <w:r w:rsidRPr="00F47918">
        <w:rPr>
          <w:rFonts w:ascii="Times New Roman" w:hAnsi="Times New Roman" w:cs="Times New Roman"/>
          <w:sz w:val="24"/>
          <w:szCs w:val="24"/>
        </w:rPr>
        <w:t xml:space="preserve"> град. C.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Последние весенние заморозки наблюдаются до 19 мая. Первые осенние заморозки наступают 21 сентября.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Продолжительность безморозного периода в среднем 124 дня с колебаниями от 97 до 165 дней.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Устойчивый снежный покров образуется в первой декаде ноября, сохраняется 160 - 165 дней и сходит во второй - третьей декаде апреля.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Глубина промерзания почвы 168 - 170 см.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Среднегодовое атмосферное давление составляет 747 мм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>т. ст., а влажность воздуха 77%.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Летние месяцы отличаются большой неустойчивостью увлажнения, отклонения от нормы осадков летом возможны через каждые 3 - 4 года. Кроме того, большое количество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осадков может быть вызвано небольшим числом ливней, в то время как весь месяц может оставаться сухим. Ливни, во время которых выпадает 30 мм осадков, бывают почти ежегодно.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В среднем за год преобладающими направлениями ветра на территории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являются </w:t>
      </w:r>
      <w:proofErr w:type="gramStart"/>
      <w:r w:rsidR="006F2E17">
        <w:rPr>
          <w:rFonts w:ascii="Times New Roman" w:hAnsi="Times New Roman" w:cs="Times New Roman"/>
          <w:sz w:val="24"/>
          <w:szCs w:val="24"/>
        </w:rPr>
        <w:t>с</w:t>
      </w:r>
      <w:r w:rsidR="007B7B83" w:rsidRPr="007B7B83">
        <w:rPr>
          <w:rFonts w:ascii="Times New Roman" w:hAnsi="Times New Roman" w:cs="Times New Roman"/>
          <w:sz w:val="24"/>
          <w:szCs w:val="24"/>
        </w:rPr>
        <w:t>еверное</w:t>
      </w:r>
      <w:proofErr w:type="gramEnd"/>
      <w:r w:rsidR="006F2E17">
        <w:rPr>
          <w:rFonts w:ascii="Times New Roman" w:hAnsi="Times New Roman" w:cs="Times New Roman"/>
          <w:sz w:val="24"/>
          <w:szCs w:val="24"/>
        </w:rPr>
        <w:t>,</w:t>
      </w:r>
      <w:r w:rsidRPr="007B7B83">
        <w:rPr>
          <w:rFonts w:ascii="Times New Roman" w:hAnsi="Times New Roman" w:cs="Times New Roman"/>
          <w:sz w:val="24"/>
          <w:szCs w:val="24"/>
        </w:rPr>
        <w:t xml:space="preserve"> </w:t>
      </w:r>
      <w:r w:rsidR="007B7B83" w:rsidRPr="007B7B83">
        <w:rPr>
          <w:rFonts w:ascii="Times New Roman" w:hAnsi="Times New Roman" w:cs="Times New Roman"/>
          <w:sz w:val="24"/>
          <w:szCs w:val="24"/>
        </w:rPr>
        <w:t>северо</w:t>
      </w:r>
      <w:r w:rsidRPr="007B7B83">
        <w:rPr>
          <w:rFonts w:ascii="Times New Roman" w:hAnsi="Times New Roman" w:cs="Times New Roman"/>
          <w:sz w:val="24"/>
          <w:szCs w:val="24"/>
        </w:rPr>
        <w:t>-западное</w:t>
      </w:r>
      <w:r w:rsidR="006F2E17">
        <w:rPr>
          <w:rFonts w:ascii="Times New Roman" w:hAnsi="Times New Roman" w:cs="Times New Roman"/>
          <w:sz w:val="24"/>
          <w:szCs w:val="24"/>
        </w:rPr>
        <w:t>, юго-западное</w:t>
      </w:r>
      <w:r w:rsidRPr="00F47918">
        <w:rPr>
          <w:rFonts w:ascii="Times New Roman" w:hAnsi="Times New Roman" w:cs="Times New Roman"/>
          <w:sz w:val="24"/>
          <w:szCs w:val="24"/>
        </w:rPr>
        <w:t>. Средние месячные максимальные скорости ветра примерно на 2 - 3 м/с больше средних скоростей и составляют 5,5 - 6,4 м/с в летние месяцы и 6,5 - 7,0 м/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- в зимние. Самым спокойным месяцем является сентябрь, а самым ветреным апрель.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Состояние неба на территории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в течение года: ясно - 11%, облачно - 23%, пасмурно - 66%. Наибольшее число часов с солнечным сиянием отмечается в июне - июле, наименьшее в декабре. Продолжительность солнечного сияния в течение всего года снижается из-за влияния облачности. В июне - июле сумма солнечного сияния составляет около 70%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возможного. Самый пасмурный месяц в </w:t>
      </w:r>
      <w:proofErr w:type="spellStart"/>
      <w:r w:rsidR="006F2E17">
        <w:rPr>
          <w:rFonts w:ascii="Times New Roman" w:hAnsi="Times New Roman" w:cs="Times New Roman"/>
          <w:sz w:val="24"/>
          <w:szCs w:val="24"/>
        </w:rPr>
        <w:t>Балезинском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районе ноябрь, пасмурное состояние неба повторяется в 89% случаев.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Средний годовой радиационный баланс на территории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составляет около 1400 Мдж/м</w:t>
      </w:r>
      <w:proofErr w:type="gramStart"/>
      <w:r w:rsidRPr="00F4791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. Период с положительным радиационным балансом составляет около 7 месяцев. Переход радиационного баланса от отрицательных значений к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положительным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происходит в марте - феврале.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Опасные природные явления.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Опасных природных процессов (оползни, сели, карст, ураганы, смерчи), требующих защитных мер на территории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района, не наблюдается. Уровень природного риска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>на территории градостроительного освоения невысок.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Наиболее опасными природными явлениями, при которых на отдельных территориях и в целом по </w:t>
      </w:r>
      <w:proofErr w:type="spellStart"/>
      <w:r w:rsidR="006F2E17">
        <w:rPr>
          <w:rFonts w:ascii="Times New Roman" w:hAnsi="Times New Roman" w:cs="Times New Roman"/>
          <w:sz w:val="24"/>
          <w:szCs w:val="24"/>
        </w:rPr>
        <w:t>Балезинскому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району может возникать чрезвычайная обстановка, являются: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- природные пожары (лесные и торфяные);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>- метеорологические явления (шквал, сильный ветер, продолжительный дождь (ливень), град, туман, сильный снегопад, заморозки, почвенная и атмосферная засуха).</w:t>
      </w:r>
      <w:proofErr w:type="gramEnd"/>
    </w:p>
    <w:p w:rsidR="00B0469E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Опасные природные процессы на территории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не представляют непосредственной опасности для жизни людей, но являются внешним воздействующим фактором и могут нанести колоссальный ущерб зданиям, сооружениям, установленному в них оборудованию, транспорту и коммуникациям.</w:t>
      </w:r>
    </w:p>
    <w:p w:rsidR="006F2E17" w:rsidRPr="00F47918" w:rsidRDefault="006F2E17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8. Анализ планов социально-экономического развития</w:t>
      </w:r>
    </w:p>
    <w:p w:rsidR="00B0469E" w:rsidRPr="00F47918" w:rsidRDefault="002373FD" w:rsidP="007B7B8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="00B0469E" w:rsidRPr="00F47918">
        <w:rPr>
          <w:rFonts w:ascii="Times New Roman" w:hAnsi="Times New Roman" w:cs="Times New Roman"/>
          <w:sz w:val="24"/>
          <w:szCs w:val="24"/>
        </w:rPr>
        <w:t xml:space="preserve"> района Удмуртск</w:t>
      </w:r>
      <w:r w:rsidR="007B7B83">
        <w:rPr>
          <w:rFonts w:ascii="Times New Roman" w:hAnsi="Times New Roman" w:cs="Times New Roman"/>
          <w:sz w:val="24"/>
          <w:szCs w:val="24"/>
        </w:rPr>
        <w:t xml:space="preserve">ой Республики в целях выявления </w:t>
      </w:r>
      <w:r w:rsidR="00B0469E" w:rsidRPr="00F47918">
        <w:rPr>
          <w:rFonts w:ascii="Times New Roman" w:hAnsi="Times New Roman" w:cs="Times New Roman"/>
          <w:sz w:val="24"/>
          <w:szCs w:val="24"/>
        </w:rPr>
        <w:t>показателей, которые не</w:t>
      </w:r>
      <w:r w:rsidR="007B7B83">
        <w:rPr>
          <w:rFonts w:ascii="Times New Roman" w:hAnsi="Times New Roman" w:cs="Times New Roman"/>
          <w:sz w:val="24"/>
          <w:szCs w:val="24"/>
        </w:rPr>
        <w:t xml:space="preserve">обходимо учитывать в нормативах </w:t>
      </w:r>
      <w:r w:rsidR="00B0469E" w:rsidRPr="00F47918">
        <w:rPr>
          <w:rFonts w:ascii="Times New Roman" w:hAnsi="Times New Roman" w:cs="Times New Roman"/>
          <w:sz w:val="24"/>
          <w:szCs w:val="24"/>
        </w:rPr>
        <w:t>градостроительного проектирования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Нормативы градостроительного проектиров</w:t>
      </w:r>
      <w:r w:rsidR="00F47918">
        <w:rPr>
          <w:rFonts w:ascii="Times New Roman" w:hAnsi="Times New Roman" w:cs="Times New Roman"/>
          <w:sz w:val="24"/>
          <w:szCs w:val="24"/>
        </w:rPr>
        <w:t xml:space="preserve">ания муниципального образования </w:t>
      </w:r>
      <w:r w:rsidRPr="00F47918">
        <w:rPr>
          <w:rFonts w:ascii="Times New Roman" w:hAnsi="Times New Roman" w:cs="Times New Roman"/>
          <w:sz w:val="24"/>
          <w:szCs w:val="24"/>
        </w:rPr>
        <w:t xml:space="preserve">"Муниципальный округ </w:t>
      </w:r>
      <w:proofErr w:type="spellStart"/>
      <w:r w:rsidR="009C5692" w:rsidRPr="00F4791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Республики" разработаны для подготовки, согласования, утверждения и реализации документов территориального планирования и документации по планировке территории с учетом перспективы развития муниципальных образований в составе района.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Нормативы направлены на устойчивое развитие территорий путем обеспечения при осуществлении градостроительной деятельности безопасности и благоприятных условий жизнедеятельности населения. Ограничения негативного воздействия хозяйственной и иной деятельности на окружающую среду и обеспечения охраны и рационального использования природных ресурсов в интересах настоящего и будущего поколений, а также инженерной защиты населения и территорий от опасных природных и техногенных процессов.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Нормативы обеспечивают социальную стабильность, соблюдение социальных прав и гарантий населения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 за счет использования социальных</w:t>
      </w:r>
      <w:r w:rsidR="00542167" w:rsidRPr="00F47918">
        <w:rPr>
          <w:rFonts w:ascii="Times New Roman" w:hAnsi="Times New Roman" w:cs="Times New Roman"/>
          <w:sz w:val="24"/>
          <w:szCs w:val="24"/>
        </w:rPr>
        <w:t xml:space="preserve"> мер защиты населения</w:t>
      </w:r>
      <w:r w:rsidRPr="00F47918">
        <w:rPr>
          <w:rFonts w:ascii="Times New Roman" w:hAnsi="Times New Roman" w:cs="Times New Roman"/>
          <w:sz w:val="24"/>
          <w:szCs w:val="24"/>
        </w:rPr>
        <w:t>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Нормативы структурированы в соответствии с полномочиями органов местного самоуправления муниципального района в соответствии с требованиями Федерального </w:t>
      </w:r>
      <w:hyperlink r:id="rId23">
        <w:r w:rsidRPr="00F47918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F47918">
        <w:rPr>
          <w:rFonts w:ascii="Times New Roman" w:hAnsi="Times New Roman" w:cs="Times New Roman"/>
          <w:sz w:val="24"/>
          <w:szCs w:val="24"/>
        </w:rPr>
        <w:t xml:space="preserve"> N 131-ФЗ от 6 октября 2003 года "Об общих принципах организации местного самоуправления в Российской Федерации" и </w:t>
      </w:r>
      <w:hyperlink r:id="rId24">
        <w:r w:rsidRPr="00F47918">
          <w:rPr>
            <w:rFonts w:ascii="Times New Roman" w:hAnsi="Times New Roman" w:cs="Times New Roman"/>
            <w:color w:val="0000FF"/>
            <w:sz w:val="24"/>
            <w:szCs w:val="24"/>
          </w:rPr>
          <w:t>Устава</w:t>
        </w:r>
      </w:hyperlink>
      <w:r w:rsidRPr="00F47918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"Муниципальный округ </w:t>
      </w:r>
      <w:proofErr w:type="spellStart"/>
      <w:r w:rsidR="009C5692" w:rsidRPr="00F4791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Республики".</w:t>
      </w:r>
    </w:p>
    <w:p w:rsidR="006F2E17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Приоритетной задачей района является обеспечение устойчивого и надежного функционирования инженерных с</w:t>
      </w:r>
      <w:r w:rsidR="006F2E17">
        <w:rPr>
          <w:rFonts w:ascii="Times New Roman" w:hAnsi="Times New Roman" w:cs="Times New Roman"/>
          <w:sz w:val="24"/>
          <w:szCs w:val="24"/>
        </w:rPr>
        <w:t>истем и связи территории района.</w:t>
      </w:r>
      <w:r w:rsidRPr="00F479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В соответствии со стратегическими направлениями в нормативах разработаны разделы "Объекты инженерной инфраструктуры", где приведены все необходимые расчетные показатели для обеспечения подготовки документов территориального планирования (схемы территориального планирования) муниципального района и документации по планировке территории.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Муниципальные автомобильные дороги общего пользования района без надлежащего и своевременного ремонта не выдерживают современных транспортных нагрузок. Кроме того, в районе еще остаются населенные пункты, не имеющие подъездов с твердым покрытием, бесхозяйственные дороги, по которым необходимо провести реконструкцию. Остается низким уровень обеспеченности автомобильных дорог автопавильонами и съездами.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Сегодняшняя ситуация в дорожной отрасли характеризуется ростом спроса на автомобильные перевозки, увеличением количества транспортных средств и одновременно с этим отставанием в развитии дорожной сети района, медленным ростом протяженности и пропускной способности автомобильных дорог.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Таким образом, одним из важнейших условий устойчивого развития экономики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является сохранение и развитие сети автомобильных дорог местного значения общего пользования, объектов дорожного сервиса и транспортного обслуживания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>населения района, способствующих эффективности использования производственных и сельскохозяйственных мощностей и ресурсов, оптимизации структуры дорожно-транспортного комплекса. В связи с важностью данных задач в местных нормативах разработан раздел "Автомобильные дороги местного значения".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Социальная сфера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представлена:</w:t>
      </w:r>
    </w:p>
    <w:p w:rsidR="00B0469E" w:rsidRPr="00F47918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а) системой образования, которая включает в себя </w:t>
      </w:r>
      <w:r w:rsidR="002501ED">
        <w:rPr>
          <w:rFonts w:ascii="Times New Roman" w:hAnsi="Times New Roman" w:cs="Times New Roman"/>
          <w:sz w:val="24"/>
          <w:szCs w:val="24"/>
        </w:rPr>
        <w:t>43</w:t>
      </w:r>
      <w:r w:rsidRPr="00F4791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2501ED">
        <w:rPr>
          <w:rFonts w:ascii="Times New Roman" w:hAnsi="Times New Roman" w:cs="Times New Roman"/>
          <w:sz w:val="24"/>
          <w:szCs w:val="24"/>
        </w:rPr>
        <w:t>я</w:t>
      </w:r>
      <w:r w:rsidRPr="00F47918">
        <w:rPr>
          <w:rFonts w:ascii="Times New Roman" w:hAnsi="Times New Roman" w:cs="Times New Roman"/>
          <w:sz w:val="24"/>
          <w:szCs w:val="24"/>
        </w:rPr>
        <w:t xml:space="preserve"> образования, в том числе:</w:t>
      </w:r>
    </w:p>
    <w:p w:rsidR="00B0469E" w:rsidRPr="00F47918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- дошкольные образовательные учреждения </w:t>
      </w:r>
      <w:r w:rsidR="006F2E17">
        <w:rPr>
          <w:rFonts w:ascii="Times New Roman" w:hAnsi="Times New Roman" w:cs="Times New Roman"/>
          <w:sz w:val="24"/>
          <w:szCs w:val="24"/>
        </w:rPr>
        <w:t>–</w:t>
      </w:r>
      <w:r w:rsidRPr="00F47918">
        <w:rPr>
          <w:rFonts w:ascii="Times New Roman" w:hAnsi="Times New Roman" w:cs="Times New Roman"/>
          <w:sz w:val="24"/>
          <w:szCs w:val="24"/>
        </w:rPr>
        <w:t xml:space="preserve"> </w:t>
      </w:r>
      <w:r w:rsidR="002501ED">
        <w:rPr>
          <w:rFonts w:ascii="Times New Roman" w:hAnsi="Times New Roman" w:cs="Times New Roman"/>
          <w:sz w:val="24"/>
          <w:szCs w:val="24"/>
        </w:rPr>
        <w:t>13</w:t>
      </w:r>
      <w:r w:rsidR="006F2E17">
        <w:rPr>
          <w:rFonts w:ascii="Times New Roman" w:hAnsi="Times New Roman" w:cs="Times New Roman"/>
          <w:sz w:val="24"/>
          <w:szCs w:val="24"/>
        </w:rPr>
        <w:t>,</w:t>
      </w:r>
    </w:p>
    <w:p w:rsidR="002501ED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- общеобразовательные учреждения </w:t>
      </w:r>
      <w:r w:rsidR="00126C7D" w:rsidRPr="00F47918">
        <w:rPr>
          <w:rFonts w:ascii="Times New Roman" w:hAnsi="Times New Roman" w:cs="Times New Roman"/>
          <w:sz w:val="24"/>
          <w:szCs w:val="24"/>
        </w:rPr>
        <w:t>–</w:t>
      </w:r>
      <w:r w:rsidRPr="00F47918">
        <w:rPr>
          <w:rFonts w:ascii="Times New Roman" w:hAnsi="Times New Roman" w:cs="Times New Roman"/>
          <w:sz w:val="24"/>
          <w:szCs w:val="24"/>
        </w:rPr>
        <w:t xml:space="preserve"> </w:t>
      </w:r>
      <w:r w:rsidR="002501ED">
        <w:rPr>
          <w:rFonts w:ascii="Times New Roman" w:hAnsi="Times New Roman" w:cs="Times New Roman"/>
          <w:sz w:val="24"/>
          <w:szCs w:val="24"/>
        </w:rPr>
        <w:t>27</w:t>
      </w:r>
      <w:r w:rsidR="00126C7D" w:rsidRPr="002501E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0469E" w:rsidRPr="00F47918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- учреждения дополнительного образования - </w:t>
      </w:r>
      <w:r w:rsidR="002501ED">
        <w:rPr>
          <w:rFonts w:ascii="Times New Roman" w:hAnsi="Times New Roman" w:cs="Times New Roman"/>
          <w:sz w:val="24"/>
          <w:szCs w:val="24"/>
        </w:rPr>
        <w:t>3</w:t>
      </w:r>
      <w:r w:rsidRPr="00F47918">
        <w:rPr>
          <w:rFonts w:ascii="Times New Roman" w:hAnsi="Times New Roman" w:cs="Times New Roman"/>
          <w:sz w:val="24"/>
          <w:szCs w:val="24"/>
        </w:rPr>
        <w:t>;</w:t>
      </w:r>
    </w:p>
    <w:p w:rsidR="00B0469E" w:rsidRPr="00F47918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б) системой учреждений здравоохранения:</w:t>
      </w:r>
    </w:p>
    <w:p w:rsidR="00B0469E" w:rsidRPr="00F47918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- районная больница </w:t>
      </w:r>
      <w:r w:rsidR="001507FD" w:rsidRPr="00F47918">
        <w:rPr>
          <w:rFonts w:ascii="Times New Roman" w:hAnsi="Times New Roman" w:cs="Times New Roman"/>
          <w:sz w:val="24"/>
          <w:szCs w:val="24"/>
        </w:rPr>
        <w:t>п</w:t>
      </w:r>
      <w:r w:rsidRPr="00F47918">
        <w:rPr>
          <w:rFonts w:ascii="Times New Roman" w:hAnsi="Times New Roman" w:cs="Times New Roman"/>
          <w:sz w:val="24"/>
          <w:szCs w:val="24"/>
        </w:rPr>
        <w:t xml:space="preserve">. </w:t>
      </w:r>
      <w:r w:rsidR="00E7476C" w:rsidRPr="00F47918">
        <w:rPr>
          <w:rFonts w:ascii="Times New Roman" w:hAnsi="Times New Roman" w:cs="Times New Roman"/>
          <w:sz w:val="24"/>
          <w:szCs w:val="24"/>
        </w:rPr>
        <w:t>Балезино</w:t>
      </w:r>
      <w:r w:rsidRPr="00F47918">
        <w:rPr>
          <w:rFonts w:ascii="Times New Roman" w:hAnsi="Times New Roman" w:cs="Times New Roman"/>
          <w:sz w:val="24"/>
          <w:szCs w:val="24"/>
        </w:rPr>
        <w:t>;</w:t>
      </w:r>
    </w:p>
    <w:p w:rsidR="001507FD" w:rsidRPr="00F47918" w:rsidRDefault="001507FD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- </w:t>
      </w:r>
      <w:r w:rsidR="00FD6754" w:rsidRPr="00F47918">
        <w:rPr>
          <w:rFonts w:ascii="Times New Roman" w:hAnsi="Times New Roman" w:cs="Times New Roman"/>
          <w:sz w:val="24"/>
          <w:szCs w:val="24"/>
        </w:rPr>
        <w:t xml:space="preserve">участковая </w:t>
      </w:r>
      <w:r w:rsidRPr="00F47918">
        <w:rPr>
          <w:rFonts w:ascii="Times New Roman" w:hAnsi="Times New Roman" w:cs="Times New Roman"/>
          <w:sz w:val="24"/>
          <w:szCs w:val="24"/>
        </w:rPr>
        <w:t xml:space="preserve">больница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с. </w:t>
      </w:r>
      <w:r w:rsidR="00E7476C" w:rsidRPr="00F47918">
        <w:rPr>
          <w:rFonts w:ascii="Times New Roman" w:hAnsi="Times New Roman" w:cs="Times New Roman"/>
          <w:sz w:val="24"/>
          <w:szCs w:val="24"/>
        </w:rPr>
        <w:t>Карсовай</w:t>
      </w:r>
      <w:r w:rsidR="006F2E17">
        <w:rPr>
          <w:rFonts w:ascii="Times New Roman" w:hAnsi="Times New Roman" w:cs="Times New Roman"/>
          <w:sz w:val="24"/>
          <w:szCs w:val="24"/>
        </w:rPr>
        <w:t>;</w:t>
      </w:r>
    </w:p>
    <w:p w:rsidR="00B0469E" w:rsidRPr="00F47918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в) культура и спорт:</w:t>
      </w:r>
    </w:p>
    <w:p w:rsidR="00B0469E" w:rsidRPr="002501ED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- </w:t>
      </w:r>
      <w:r w:rsidR="007D4319" w:rsidRPr="002501ED">
        <w:rPr>
          <w:rFonts w:ascii="Times New Roman" w:hAnsi="Times New Roman" w:cs="Times New Roman"/>
          <w:sz w:val="24"/>
          <w:szCs w:val="24"/>
        </w:rPr>
        <w:t>28</w:t>
      </w:r>
      <w:r w:rsidRPr="002501ED">
        <w:rPr>
          <w:rFonts w:ascii="Times New Roman" w:hAnsi="Times New Roman" w:cs="Times New Roman"/>
          <w:sz w:val="24"/>
          <w:szCs w:val="24"/>
        </w:rPr>
        <w:t xml:space="preserve"> </w:t>
      </w:r>
      <w:r w:rsidR="007D4319" w:rsidRPr="002501ED">
        <w:rPr>
          <w:rFonts w:ascii="Times New Roman" w:hAnsi="Times New Roman" w:cs="Times New Roman"/>
          <w:sz w:val="24"/>
          <w:szCs w:val="24"/>
        </w:rPr>
        <w:t>клубных учреждений</w:t>
      </w:r>
      <w:r w:rsidRPr="002501ED">
        <w:rPr>
          <w:rFonts w:ascii="Times New Roman" w:hAnsi="Times New Roman" w:cs="Times New Roman"/>
          <w:sz w:val="24"/>
          <w:szCs w:val="24"/>
        </w:rPr>
        <w:t>;</w:t>
      </w:r>
    </w:p>
    <w:p w:rsidR="00B0469E" w:rsidRPr="007B7B83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7B83">
        <w:rPr>
          <w:rFonts w:ascii="Times New Roman" w:hAnsi="Times New Roman" w:cs="Times New Roman"/>
          <w:sz w:val="24"/>
          <w:szCs w:val="24"/>
        </w:rPr>
        <w:t xml:space="preserve">- </w:t>
      </w:r>
      <w:r w:rsidR="001507FD" w:rsidRPr="007B7B83">
        <w:rPr>
          <w:rFonts w:ascii="Times New Roman" w:hAnsi="Times New Roman" w:cs="Times New Roman"/>
          <w:sz w:val="24"/>
          <w:szCs w:val="24"/>
        </w:rPr>
        <w:t xml:space="preserve">стадион в пос. </w:t>
      </w:r>
      <w:r w:rsidR="00E7476C" w:rsidRPr="007B7B83">
        <w:rPr>
          <w:rFonts w:ascii="Times New Roman" w:hAnsi="Times New Roman" w:cs="Times New Roman"/>
          <w:sz w:val="24"/>
          <w:szCs w:val="24"/>
        </w:rPr>
        <w:t>Балезино</w:t>
      </w:r>
      <w:r w:rsidR="001507FD" w:rsidRPr="007B7B83">
        <w:rPr>
          <w:rFonts w:ascii="Times New Roman" w:hAnsi="Times New Roman" w:cs="Times New Roman"/>
          <w:sz w:val="24"/>
          <w:szCs w:val="24"/>
        </w:rPr>
        <w:t>;</w:t>
      </w:r>
    </w:p>
    <w:p w:rsidR="00B0469E" w:rsidRPr="00F47918" w:rsidRDefault="00B0469E" w:rsidP="006F2E1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B7B83">
        <w:rPr>
          <w:rFonts w:ascii="Times New Roman" w:hAnsi="Times New Roman" w:cs="Times New Roman"/>
          <w:sz w:val="24"/>
          <w:szCs w:val="24"/>
        </w:rPr>
        <w:t xml:space="preserve">- </w:t>
      </w:r>
      <w:r w:rsidR="001507FD" w:rsidRPr="007B7B83">
        <w:rPr>
          <w:rFonts w:ascii="Times New Roman" w:hAnsi="Times New Roman" w:cs="Times New Roman"/>
          <w:sz w:val="24"/>
          <w:szCs w:val="24"/>
        </w:rPr>
        <w:t xml:space="preserve">лыжная база в пос. </w:t>
      </w:r>
      <w:r w:rsidR="00E7476C" w:rsidRPr="007B7B83">
        <w:rPr>
          <w:rFonts w:ascii="Times New Roman" w:hAnsi="Times New Roman" w:cs="Times New Roman"/>
          <w:sz w:val="24"/>
          <w:szCs w:val="24"/>
        </w:rPr>
        <w:t>Балезино</w:t>
      </w:r>
      <w:r w:rsidR="001507FD" w:rsidRPr="007B7B83">
        <w:rPr>
          <w:rFonts w:ascii="Times New Roman" w:hAnsi="Times New Roman" w:cs="Times New Roman"/>
          <w:sz w:val="24"/>
          <w:szCs w:val="24"/>
        </w:rPr>
        <w:t>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Особое внимание в нормативах уделяется разработке расчетных показателей для проектирования объектов социальной инфраструктуры в составе разделов.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"Объекты образования", "Объекты здравоохранения", "Объекты физической культуры и массового спорта", "Объекты культуры и искусства". Кроме перечисленных разделов в нормативах разработан раздел "Объекты общественного питания, торговли и бытового обслуживания". В данном разделе приведены все необходимые расчетные показатели для градостроительного проектирования объектов обслуживания.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К полномочиям органов местного самоуправления района относится участие в организации деятельности по сбору, транспортированию, обработке, утилизации, обезвреживанию, захоронению твердых коммунальных отходов на территории района, что способствует сохранению стабильной экологической ситуации в районе.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Разработанные нормативы градостроительного проектирования муниципального образования "Муниципальный округ </w:t>
      </w:r>
      <w:r w:rsidR="00542167" w:rsidRPr="00F479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5692" w:rsidRPr="00F4791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Республики" будут встроены в систему нормативно-технических документов в сфере регулирования градостроительной деятельности и окажут влияние на реализацию документов муниципального планирования на территории муниципального образования "Муниципальный округ </w:t>
      </w:r>
      <w:proofErr w:type="spellStart"/>
      <w:r w:rsidR="009C5692" w:rsidRPr="00F4791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Республики".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 w:rsidP="007B7B83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7B7B83">
        <w:rPr>
          <w:rFonts w:ascii="Times New Roman" w:hAnsi="Times New Roman" w:cs="Times New Roman"/>
          <w:sz w:val="24"/>
          <w:szCs w:val="24"/>
        </w:rPr>
        <w:t>3</w:t>
      </w:r>
      <w:r w:rsidRPr="00F47918">
        <w:rPr>
          <w:rFonts w:ascii="Times New Roman" w:hAnsi="Times New Roman" w:cs="Times New Roman"/>
          <w:sz w:val="24"/>
          <w:szCs w:val="24"/>
        </w:rPr>
        <w:t xml:space="preserve">. </w:t>
      </w:r>
      <w:r w:rsidR="007B7B83">
        <w:rPr>
          <w:rFonts w:ascii="Times New Roman" w:hAnsi="Times New Roman" w:cs="Times New Roman"/>
          <w:sz w:val="24"/>
          <w:szCs w:val="24"/>
        </w:rPr>
        <w:t>П</w:t>
      </w:r>
      <w:r w:rsidR="007B7B83" w:rsidRPr="00F47918">
        <w:rPr>
          <w:rFonts w:ascii="Times New Roman" w:hAnsi="Times New Roman" w:cs="Times New Roman"/>
          <w:sz w:val="24"/>
          <w:szCs w:val="24"/>
        </w:rPr>
        <w:t>равила и область применения расчетных</w:t>
      </w:r>
      <w:r w:rsidR="007B7B83">
        <w:rPr>
          <w:rFonts w:ascii="Times New Roman" w:hAnsi="Times New Roman" w:cs="Times New Roman"/>
          <w:sz w:val="24"/>
          <w:szCs w:val="24"/>
        </w:rPr>
        <w:t xml:space="preserve"> </w:t>
      </w:r>
      <w:r w:rsidR="007B7B83" w:rsidRPr="00F47918">
        <w:rPr>
          <w:rFonts w:ascii="Times New Roman" w:hAnsi="Times New Roman" w:cs="Times New Roman"/>
          <w:sz w:val="24"/>
          <w:szCs w:val="24"/>
        </w:rPr>
        <w:t>показателей, содержащихся в основной части нормативов</w:t>
      </w:r>
      <w:r w:rsidR="007B7B83">
        <w:rPr>
          <w:rFonts w:ascii="Times New Roman" w:hAnsi="Times New Roman" w:cs="Times New Roman"/>
          <w:sz w:val="24"/>
          <w:szCs w:val="24"/>
        </w:rPr>
        <w:t xml:space="preserve"> </w:t>
      </w:r>
      <w:r w:rsidR="007B7B83" w:rsidRPr="00F47918">
        <w:rPr>
          <w:rFonts w:ascii="Times New Roman" w:hAnsi="Times New Roman" w:cs="Times New Roman"/>
          <w:sz w:val="24"/>
          <w:szCs w:val="24"/>
        </w:rPr>
        <w:t>градостроительного проектирования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9. Область применения расчетных показателей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В соответствии с Градостроительным </w:t>
      </w:r>
      <w:hyperlink r:id="rId25">
        <w:r w:rsidRPr="00F47918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F47918">
        <w:rPr>
          <w:rFonts w:ascii="Times New Roman" w:hAnsi="Times New Roman" w:cs="Times New Roman"/>
          <w:sz w:val="24"/>
          <w:szCs w:val="24"/>
        </w:rPr>
        <w:t xml:space="preserve"> Российской Федерации 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муниципального района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 в целях обеспечения благоприятных условий жизнедеятельности населения.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47918">
        <w:rPr>
          <w:rFonts w:ascii="Times New Roman" w:hAnsi="Times New Roman" w:cs="Times New Roman"/>
          <w:sz w:val="24"/>
          <w:szCs w:val="24"/>
        </w:rPr>
        <w:t xml:space="preserve">Нормативы направлены на обеспечение градостроительными средствами (совокупностью расчетных показателей) безопасности и устойчивости развития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Республики, охрану здоровья населения, рациональное использование природных ресурсов и охрану окружающей среды, сохранение памятников истории и культуры, защиту территорий населенных пунктов от неблагоприятных воздействий природного и техногенного характера, а также на создание условий для реализации определенных законодательством Российской Федерации социальных гарантий граждан в части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обеспечения объектами социального и культурно-бытового обслуживания, инженерной и транспортной </w:t>
      </w:r>
      <w:r w:rsidRPr="00F47918">
        <w:rPr>
          <w:rFonts w:ascii="Times New Roman" w:hAnsi="Times New Roman" w:cs="Times New Roman"/>
          <w:sz w:val="24"/>
          <w:szCs w:val="24"/>
        </w:rPr>
        <w:lastRenderedPageBreak/>
        <w:t>инфраструктуры и благоустройства.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Областью применения нормативов градостроительного проектирования являются: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1) при подготовке программ комплексного развития социальной инфраструктуры;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2) при подготовке программ комплексного развития коммунальной инфраструктуры;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3) при подготовке программ комплексного развития транспортной инфраструктуры;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4) при подготовке проектов внесения изменений в схему территориального планирования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5) при подготовке проектов генеральных планов, в том числе при подготовке проектов внесения изменений в генеральные планы поселений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6) при подготовке правил землепользования и застройки, в том числе при подготовке проектов внесения изменений в правила землепользования и застройки поселений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7) при подготовке документации по планировке территории;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8) при подготовке проектной документации на объекты капитального строительства, </w:t>
      </w:r>
      <w:proofErr w:type="gramStart"/>
      <w:r w:rsidRPr="00F47918">
        <w:rPr>
          <w:rFonts w:ascii="Times New Roman" w:hAnsi="Times New Roman" w:cs="Times New Roman"/>
          <w:sz w:val="24"/>
          <w:szCs w:val="24"/>
        </w:rPr>
        <w:t>являющихся</w:t>
      </w:r>
      <w:proofErr w:type="gramEnd"/>
      <w:r w:rsidRPr="00F47918">
        <w:rPr>
          <w:rFonts w:ascii="Times New Roman" w:hAnsi="Times New Roman" w:cs="Times New Roman"/>
          <w:sz w:val="24"/>
          <w:szCs w:val="24"/>
        </w:rPr>
        <w:t xml:space="preserve"> объектами местного значения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района;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9) в других случаях, в которых требуется учет и соблюдение расчетных показателей минимально допустимого уровня обеспеченности объектами местного значения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и расчетных показателей максимально допустимого уровня территориальной доступности таких объектов для населения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Нормативы входят в систему нормативных документов, регламентирующих градостроительную деятельность на территории муниципального образования "Муниципальный округ </w:t>
      </w:r>
      <w:proofErr w:type="spellStart"/>
      <w:r w:rsidR="009C5692" w:rsidRPr="00F4791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Республики".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Настоящие нормативы устанавливают требования, обязательные для всех субъектов градостроительных отношений, осуществляющих свою деятельность на территории муниципального образования "Муниципальный округ </w:t>
      </w:r>
      <w:proofErr w:type="spellStart"/>
      <w:r w:rsidR="009C5692" w:rsidRPr="00F47918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="00542167" w:rsidRPr="00F47918">
        <w:rPr>
          <w:rFonts w:ascii="Times New Roman" w:hAnsi="Times New Roman" w:cs="Times New Roman"/>
          <w:sz w:val="24"/>
          <w:szCs w:val="24"/>
        </w:rPr>
        <w:t xml:space="preserve"> </w:t>
      </w:r>
      <w:r w:rsidRPr="00F47918">
        <w:rPr>
          <w:rFonts w:ascii="Times New Roman" w:hAnsi="Times New Roman" w:cs="Times New Roman"/>
          <w:sz w:val="24"/>
          <w:szCs w:val="24"/>
        </w:rPr>
        <w:t>район Удмуртской Республики", независимо от их организационно-правовой формы.</w:t>
      </w:r>
    </w:p>
    <w:p w:rsidR="00B0469E" w:rsidRPr="00F47918" w:rsidRDefault="00B0469E" w:rsidP="00F4791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Нормативы конкретизируют и развивают основные положения действующих федеральных норм. По вопросам, не рассматриваемым в нормативах, следует руководствоваться законами и нормативно-техническими документами, действующими на территории Российской Федерации. При отмене и/или изменении действующих нормативных документов, в том числе тех, на которые дается ссылка в настоящих нормах, следует руководствоваться нормами, вводимыми взамен отмененных.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0469E" w:rsidRPr="00F47918" w:rsidRDefault="00B0469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10. Правила применения расчетных показателей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 xml:space="preserve">Установление совокупности расчетных показателей минимально допустимого уровня обеспеченности объектами местного значения муниципального района, установление максимально допустимого уровня территориальной доступности таких объектов для населения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необходимы для определения местоположения планируемых к размещению объектов местного значения в схеме территориального планирования </w:t>
      </w:r>
      <w:proofErr w:type="spellStart"/>
      <w:r w:rsidR="002373FD" w:rsidRPr="00F47918">
        <w:rPr>
          <w:rFonts w:ascii="Times New Roman" w:hAnsi="Times New Roman" w:cs="Times New Roman"/>
          <w:sz w:val="24"/>
          <w:szCs w:val="24"/>
        </w:rPr>
        <w:t>Балезинского</w:t>
      </w:r>
      <w:proofErr w:type="spellEnd"/>
      <w:r w:rsidRPr="00F47918">
        <w:rPr>
          <w:rFonts w:ascii="Times New Roman" w:hAnsi="Times New Roman" w:cs="Times New Roman"/>
          <w:sz w:val="24"/>
          <w:szCs w:val="24"/>
        </w:rPr>
        <w:t xml:space="preserve"> района Удмуртской Республики в целях обеспечения благоприятных условий жизнедеятельности населения.</w:t>
      </w:r>
    </w:p>
    <w:p w:rsidR="00B0469E" w:rsidRPr="00F47918" w:rsidRDefault="00B0469E" w:rsidP="007B7B8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47918">
        <w:rPr>
          <w:rFonts w:ascii="Times New Roman" w:hAnsi="Times New Roman" w:cs="Times New Roman"/>
          <w:sz w:val="24"/>
          <w:szCs w:val="24"/>
        </w:rPr>
        <w:t>Определение местоположения планируемого к размещению объекта местного значения следует осуществлять исходя из минимально допустимого уровня обеспеченности объектами, установленного настоящими нормативами, и максимально допустимого уровня территориальной доступности того или иного объекта, установленного настоящими нормативами в целях градостроительного проектирования.</w:t>
      </w:r>
    </w:p>
    <w:p w:rsidR="00B0469E" w:rsidRPr="00F47918" w:rsidRDefault="00B04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54EF" w:rsidRPr="00F47918" w:rsidRDefault="00CA54EF">
      <w:pPr>
        <w:rPr>
          <w:rFonts w:ascii="Times New Roman" w:hAnsi="Times New Roman" w:cs="Times New Roman"/>
          <w:sz w:val="24"/>
          <w:szCs w:val="24"/>
        </w:rPr>
      </w:pPr>
    </w:p>
    <w:sectPr w:rsidR="00CA54EF" w:rsidRPr="00F47918" w:rsidSect="00F47918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9E"/>
    <w:rsid w:val="00017D80"/>
    <w:rsid w:val="000820BD"/>
    <w:rsid w:val="00115D2C"/>
    <w:rsid w:val="00126C7D"/>
    <w:rsid w:val="001507FD"/>
    <w:rsid w:val="001C0D56"/>
    <w:rsid w:val="001E473C"/>
    <w:rsid w:val="002373FD"/>
    <w:rsid w:val="002501ED"/>
    <w:rsid w:val="002E5866"/>
    <w:rsid w:val="00394ED5"/>
    <w:rsid w:val="003A4DBC"/>
    <w:rsid w:val="004025F6"/>
    <w:rsid w:val="00444731"/>
    <w:rsid w:val="0052472C"/>
    <w:rsid w:val="00542167"/>
    <w:rsid w:val="00567692"/>
    <w:rsid w:val="0069307F"/>
    <w:rsid w:val="006C704C"/>
    <w:rsid w:val="006F2E17"/>
    <w:rsid w:val="007B7B83"/>
    <w:rsid w:val="007D4319"/>
    <w:rsid w:val="00802DDC"/>
    <w:rsid w:val="00837C38"/>
    <w:rsid w:val="00852E61"/>
    <w:rsid w:val="008D33F4"/>
    <w:rsid w:val="008D654E"/>
    <w:rsid w:val="008F7A55"/>
    <w:rsid w:val="00943AD2"/>
    <w:rsid w:val="009C5692"/>
    <w:rsid w:val="00AB7368"/>
    <w:rsid w:val="00AE1D95"/>
    <w:rsid w:val="00AF52E1"/>
    <w:rsid w:val="00B0469E"/>
    <w:rsid w:val="00B42D2B"/>
    <w:rsid w:val="00B43307"/>
    <w:rsid w:val="00B50268"/>
    <w:rsid w:val="00B52E61"/>
    <w:rsid w:val="00B70833"/>
    <w:rsid w:val="00BB0E47"/>
    <w:rsid w:val="00CA54EF"/>
    <w:rsid w:val="00D17A32"/>
    <w:rsid w:val="00D334E2"/>
    <w:rsid w:val="00DD0435"/>
    <w:rsid w:val="00E7476C"/>
    <w:rsid w:val="00E768C1"/>
    <w:rsid w:val="00E902CA"/>
    <w:rsid w:val="00ED72E9"/>
    <w:rsid w:val="00F21339"/>
    <w:rsid w:val="00F31E90"/>
    <w:rsid w:val="00F47918"/>
    <w:rsid w:val="00F90A86"/>
    <w:rsid w:val="00FD6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046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B046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rmal (Web)"/>
    <w:basedOn w:val="a"/>
    <w:uiPriority w:val="99"/>
    <w:semiHidden/>
    <w:unhideWhenUsed/>
    <w:rsid w:val="008D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2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0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046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B0469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Normal (Web)"/>
    <w:basedOn w:val="a"/>
    <w:uiPriority w:val="99"/>
    <w:semiHidden/>
    <w:unhideWhenUsed/>
    <w:rsid w:val="008D3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2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0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0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4185&amp;dst=100068" TargetMode="External"/><Relationship Id="rId13" Type="http://schemas.openxmlformats.org/officeDocument/2006/relationships/hyperlink" Target="https://login.consultant.ru/link/?req=doc&amp;base=LAW&amp;n=464879" TargetMode="External"/><Relationship Id="rId18" Type="http://schemas.openxmlformats.org/officeDocument/2006/relationships/hyperlink" Target="https://login.consultant.ru/link/?req=doc&amp;base=LAW&amp;n=111609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STR&amp;n=28513" TargetMode="External"/><Relationship Id="rId7" Type="http://schemas.openxmlformats.org/officeDocument/2006/relationships/hyperlink" Target="https://login.consultant.ru/link/?req=doc&amp;base=LAW&amp;n=379662" TargetMode="External"/><Relationship Id="rId12" Type="http://schemas.openxmlformats.org/officeDocument/2006/relationships/hyperlink" Target="https://login.consultant.ru/link/?req=doc&amp;base=RLAW053&amp;n=151641" TargetMode="External"/><Relationship Id="rId17" Type="http://schemas.openxmlformats.org/officeDocument/2006/relationships/hyperlink" Target="https://login.consultant.ru/link/?req=doc&amp;base=LAW&amp;n=461843" TargetMode="External"/><Relationship Id="rId25" Type="http://schemas.openxmlformats.org/officeDocument/2006/relationships/hyperlink" Target="https://login.consultant.ru/link/?req=doc&amp;base=LAW&amp;n=46418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65775" TargetMode="External"/><Relationship Id="rId20" Type="http://schemas.openxmlformats.org/officeDocument/2006/relationships/hyperlink" Target="https://login.consultant.ru/link/?req=doc&amp;base=RLAW053&amp;n=98766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053&amp;n=151641" TargetMode="External"/><Relationship Id="rId11" Type="http://schemas.openxmlformats.org/officeDocument/2006/relationships/hyperlink" Target="https://login.consultant.ru/link/?req=doc&amp;base=LAW&amp;n=472832" TargetMode="External"/><Relationship Id="rId24" Type="http://schemas.openxmlformats.org/officeDocument/2006/relationships/hyperlink" Target="https://login.consultant.ru/link/?req=doc&amp;base=RLAW053&amp;n=151411&amp;dst=100012" TargetMode="External"/><Relationship Id="rId5" Type="http://schemas.openxmlformats.org/officeDocument/2006/relationships/hyperlink" Target="https://login.consultant.ru/link/?req=doc&amp;base=LAW&amp;n=464185" TargetMode="External"/><Relationship Id="rId15" Type="http://schemas.openxmlformats.org/officeDocument/2006/relationships/hyperlink" Target="https://login.consultant.ru/link/?req=doc&amp;base=LAW&amp;n=465775" TargetMode="External"/><Relationship Id="rId23" Type="http://schemas.openxmlformats.org/officeDocument/2006/relationships/hyperlink" Target="https://login.consultant.ru/link/?req=doc&amp;base=LAW&amp;n=472832" TargetMode="External"/><Relationship Id="rId10" Type="http://schemas.openxmlformats.org/officeDocument/2006/relationships/hyperlink" Target="https://login.consultant.ru/link/?req=doc&amp;base=LAW&amp;n=464185" TargetMode="External"/><Relationship Id="rId19" Type="http://schemas.openxmlformats.org/officeDocument/2006/relationships/hyperlink" Target="https://login.consultant.ru/link/?req=doc&amp;base=RLAW053&amp;n=156823&amp;dst=1000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53&amp;n=156823&amp;dst=100012" TargetMode="External"/><Relationship Id="rId14" Type="http://schemas.openxmlformats.org/officeDocument/2006/relationships/hyperlink" Target="https://login.consultant.ru/link/?req=doc&amp;base=LAW&amp;n=13040&amp;dst=100012" TargetMode="External"/><Relationship Id="rId22" Type="http://schemas.openxmlformats.org/officeDocument/2006/relationships/hyperlink" Target="https://login.consultant.ru/link/?req=doc&amp;base=STR&amp;n=2851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9211</Words>
  <Characters>52503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2024-10-31T07:51:00Z</cp:lastPrinted>
  <dcterms:created xsi:type="dcterms:W3CDTF">2024-10-14T04:33:00Z</dcterms:created>
  <dcterms:modified xsi:type="dcterms:W3CDTF">2024-10-31T09:09:00Z</dcterms:modified>
</cp:coreProperties>
</file>